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0D6"/>
          <w:sz w:val="28"/>
        </w:rPr>
        <w:t>Apex Construction Group</w:t>
      </w:r>
    </w:p>
    <w:p>
      <w:pPr>
        <w:jc w:val="center"/>
      </w:pPr>
      <w:r>
        <w:rPr>
          <w:b/>
          <w:color w:val="0E1E4A"/>
          <w:sz w:val="56"/>
        </w:rPr>
        <w:t>Project Implementation Report</w:t>
      </w:r>
    </w:p>
    <w:p>
      <w:pPr>
        <w:jc w:val="center"/>
      </w:pPr>
      <w:r>
        <w:rPr>
          <w:color w:val="2B50D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6B7FA0"/>
          <w:sz w:val="32"/>
        </w:rPr>
        <w:t>Harborview Commercial Complex</w:t>
      </w:r>
    </w:p>
    <w:p>
      <w:pPr>
        <w:jc w:val="center"/>
      </w:pPr>
      <w:r>
        <w:rPr>
          <w:color w:val="6B7FA0"/>
          <w:sz w:val="24"/>
        </w:rPr>
        <w:t>August 2025</w:t>
      </w:r>
    </w:p>
    <w:p>
      <w:r>
        <w:br w:type="page"/>
      </w:r>
    </w:p>
    <w:p>
      <w:pPr>
        <w:pStyle w:val="Heading1"/>
      </w:pPr>
      <w:r>
        <w:rPr>
          <w:color w:val="2B50D6"/>
        </w:rPr>
        <w:t>Project Overview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The Harborview Commercial Complex is a 12-story mixed-use development in Victoria Island, Lagos. Commissioned March 2023, completed July 2025 — 2 weeks early and 3% under budget.</w:t>
      </w:r>
    </w:p>
    <w:p>
      <w:pPr>
        <w:pStyle w:val="Heading1"/>
      </w:pPr>
      <w:r>
        <w:rPr>
          <w:color w:val="2B50D6"/>
        </w:rPr>
        <w:t>Key Statistics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2B50D6"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color w:val="2B50D6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Project Value</w:t>
            </w:r>
          </w:p>
        </w:tc>
        <w:tc>
          <w:tcPr>
            <w:tcW w:type="dxa" w:w="4320"/>
          </w:tcPr>
          <w:p>
            <w:r>
              <w:t>$48.5 million</w:t>
            </w:r>
          </w:p>
        </w:tc>
      </w:tr>
      <w:tr>
        <w:tc>
          <w:tcPr>
            <w:tcW w:type="dxa" w:w="4320"/>
          </w:tcPr>
          <w:p>
            <w:r>
              <w:t>Final Cost</w:t>
            </w:r>
          </w:p>
        </w:tc>
        <w:tc>
          <w:tcPr>
            <w:tcW w:type="dxa" w:w="4320"/>
          </w:tcPr>
          <w:p>
            <w:r>
              <w:t>$47.05 million</w:t>
            </w:r>
          </w:p>
        </w:tc>
      </w:tr>
      <w:tr>
        <w:tc>
          <w:tcPr>
            <w:tcW w:type="dxa" w:w="4320"/>
          </w:tcPr>
          <w:p>
            <w:r>
              <w:t>Contract Duration</w:t>
            </w:r>
          </w:p>
        </w:tc>
        <w:tc>
          <w:tcPr>
            <w:tcW w:type="dxa" w:w="4320"/>
          </w:tcPr>
          <w:p>
            <w:r>
              <w:t>28 months</w:t>
            </w:r>
          </w:p>
        </w:tc>
      </w:tr>
      <w:tr>
        <w:tc>
          <w:tcPr>
            <w:tcW w:type="dxa" w:w="4320"/>
          </w:tcPr>
          <w:p>
            <w:r>
              <w:t>Actual Duration</w:t>
            </w:r>
          </w:p>
        </w:tc>
        <w:tc>
          <w:tcPr>
            <w:tcW w:type="dxa" w:w="4320"/>
          </w:tcPr>
          <w:p>
            <w:r>
              <w:t>27.5 months</w:t>
            </w:r>
          </w:p>
        </w:tc>
      </w:tr>
      <w:tr>
        <w:tc>
          <w:tcPr>
            <w:tcW w:type="dxa" w:w="4320"/>
          </w:tcPr>
          <w:p>
            <w:r>
              <w:t>Gross Floor Area</w:t>
            </w:r>
          </w:p>
        </w:tc>
        <w:tc>
          <w:tcPr>
            <w:tcW w:type="dxa" w:w="4320"/>
          </w:tcPr>
          <w:p>
            <w:r>
              <w:t>28,500 sqm</w:t>
            </w:r>
          </w:p>
        </w:tc>
      </w:tr>
      <w:tr>
        <w:tc>
          <w:tcPr>
            <w:tcW w:type="dxa" w:w="4320"/>
          </w:tcPr>
          <w:p>
            <w:r>
              <w:t>Safety Incidents</w:t>
            </w:r>
          </w:p>
        </w:tc>
        <w:tc>
          <w:tcPr>
            <w:tcW w:type="dxa" w:w="4320"/>
          </w:tcPr>
          <w:p>
            <w:r>
              <w:t>0 lost-time injuries</w:t>
            </w:r>
          </w:p>
        </w:tc>
      </w:tr>
    </w:tbl>
    <w:p>
      <w:pPr>
        <w:pStyle w:val="Heading1"/>
      </w:pPr>
      <w:r>
        <w:rPr>
          <w:color w:val="2B50D6"/>
        </w:rPr>
        <w:t>Budget Reconciliation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Savings of $1.45M achieved through value engineering and efficient scheduling. Structural steel procurement 8% under budget, MEP optimization 5% under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