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Federal University of Technology, Ikot Abasi</w:t>
      </w:r>
    </w:p>
    <w:p>
      <w:pPr>
        <w:jc w:val="center"/>
      </w:pPr>
      <w:r>
        <w:rPr>
          <w:b/>
          <w:color w:val="0E1E4A"/>
          <w:sz w:val="56"/>
        </w:rPr>
        <w:t>5-Year Strategic Plan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2025–2030: Excellence in Education</w:t>
      </w:r>
    </w:p>
    <w:p>
      <w:pPr>
        <w:jc w:val="center"/>
      </w:pPr>
      <w:r>
        <w:rPr>
          <w:color w:val="6B7FA0"/>
          <w:sz w:val="24"/>
        </w:rPr>
        <w:t>February 2025</w:t>
      </w:r>
    </w:p>
    <w:p>
      <w:r>
        <w:br w:type="page"/>
      </w:r>
    </w:p>
    <w:p>
      <w:pPr>
        <w:pStyle w:val="Heading1"/>
      </w:pPr>
      <w:r>
        <w:rPr>
          <w:color w:val="2B50D6"/>
        </w:rPr>
        <w:t>Vision</w:t>
      </w:r>
    </w:p>
    <w:p>
      <w:pPr>
        <w:spacing w:after="160" w:line="360" w:lineRule="auto"/>
      </w:pPr>
      <w:r>
        <w:rPr>
          <w:b/>
          <w:color w:val="0A1628"/>
          <w:sz w:val="22"/>
        </w:rPr>
        <w:t>To become a top-10 technology university in Africa by 2030.</w:t>
      </w:r>
    </w:p>
    <w:p>
      <w:pPr>
        <w:pStyle w:val="Heading1"/>
      </w:pPr>
      <w:r>
        <w:rPr>
          <w:color w:val="2B50D6"/>
        </w:rPr>
        <w:t>SWOT Analysis</w:t>
      </w:r>
    </w:p>
    <w:p>
      <w:pPr>
        <w:spacing w:after="160" w:line="360" w:lineRule="auto"/>
      </w:pPr>
      <w:r>
        <w:rPr>
          <w:b/>
          <w:color w:val="0A1628"/>
          <w:sz w:val="22"/>
        </w:rPr>
        <w:t>Strengths: Strong engineering programs, strategic location, industry partnerships.</w:t>
      </w:r>
    </w:p>
    <w:p>
      <w:pPr>
        <w:spacing w:after="160" w:line="360" w:lineRule="auto"/>
      </w:pPr>
      <w:r>
        <w:rPr>
          <w:b/>
          <w:color w:val="0A1628"/>
          <w:sz w:val="22"/>
        </w:rPr>
        <w:t>Weaknesses: Limited research funding, infrastructure gaps, digital transformation lag.</w:t>
      </w:r>
    </w:p>
    <w:p>
      <w:pPr>
        <w:spacing w:after="160" w:line="360" w:lineRule="auto"/>
      </w:pPr>
      <w:r>
        <w:rPr>
          <w:b/>
          <w:color w:val="0A1628"/>
          <w:sz w:val="22"/>
        </w:rPr>
        <w:t>Opportunities: Government education investment, digital economy growth, remote learning.</w:t>
      </w:r>
    </w:p>
    <w:p>
      <w:pPr>
        <w:spacing w:after="160" w:line="360" w:lineRule="auto"/>
      </w:pPr>
      <w:r>
        <w:rPr>
          <w:b/>
          <w:color w:val="0A1628"/>
          <w:sz w:val="22"/>
        </w:rPr>
        <w:t>Threats: Brain drain, funding uncertainties, private university competition.</w:t>
      </w:r>
    </w:p>
    <w:p>
      <w:pPr>
        <w:pStyle w:val="Heading1"/>
      </w:pPr>
      <w:r>
        <w:rPr>
          <w:color w:val="2B50D6"/>
        </w:rPr>
        <w:t>Strategic Objectives</w:t>
      </w:r>
    </w:p>
    <w:p>
      <w:pPr>
        <w:pStyle w:val="ListBullet"/>
      </w:pPr>
      <w:r>
        <w:rPr>
          <w:color w:val="0A1628"/>
          <w:sz w:val="22"/>
        </w:rPr>
        <w:t>Increase enrollment from 5,200 to 12,000 by 2030</w:t>
      </w:r>
    </w:p>
    <w:p>
      <w:pPr>
        <w:pStyle w:val="ListBullet"/>
      </w:pPr>
      <w:r>
        <w:rPr>
          <w:color w:val="0A1628"/>
          <w:sz w:val="22"/>
        </w:rPr>
        <w:t>Achieve 100% NUC accreditation</w:t>
      </w:r>
    </w:p>
    <w:p>
      <w:pPr>
        <w:pStyle w:val="ListBullet"/>
      </w:pPr>
      <w:r>
        <w:rPr>
          <w:color w:val="0A1628"/>
          <w:sz w:val="22"/>
        </w:rPr>
        <w:t>Establish 5 Centers of Excellence (AI, Renewable Energy, AgriTech, FinTech, Biomedical)</w:t>
      </w:r>
    </w:p>
    <w:p>
      <w:pPr>
        <w:pStyle w:val="ListBullet"/>
      </w:pPr>
      <w:r>
        <w:rPr>
          <w:color w:val="0A1628"/>
          <w:sz w:val="22"/>
        </w:rPr>
        <w:t>Grow research output by 200%</w:t>
      </w:r>
    </w:p>
    <w:p>
      <w:pPr>
        <w:pStyle w:val="ListBullet"/>
      </w:pPr>
      <w:r>
        <w:rPr>
          <w:color w:val="0A1628"/>
          <w:sz w:val="22"/>
        </w:rPr>
        <w:t>Achieve 90% graduate employment 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