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rPr>
        <w:t>[Date]</w:t>
      </w:r>
    </w:p>
    <w:p>
      <w:r>
        <w:rPr>
          <w:highlight w:val="yellow"/>
        </w:rPr>
        <w:t>[Editor-in-Chief, Journal of Accounting Research]</w:t>
      </w:r>
    </w:p>
    <w:p>
      <w:r>
        <w:rPr>
          <w:highlight w:val="yellow"/>
        </w:rPr>
        <w:t>[Editorial Office address / submitted via Wiley Research Exchange]</w:t>
      </w:r>
    </w:p>
    <w:p>
      <w:pPr>
        <w:spacing w:after="120"/>
      </w:pPr>
      <w:r>
        <w:rPr>
          <w:b w:val="0"/>
          <w:i w:val="0"/>
        </w:rPr>
      </w:r>
    </w:p>
    <w:p>
      <w:pPr>
        <w:spacing w:after="200"/>
      </w:pPr>
      <w:r>
        <w:rPr>
          <w:b w:val="0"/>
          <w:i w:val="0"/>
        </w:rPr>
        <w:t>Dear Editors,</w:t>
      </w:r>
    </w:p>
    <w:p>
      <w:pPr>
        <w:jc w:val="both"/>
      </w:pPr>
      <w:r>
        <w:t>We are pleased to submit our manuscript, “Joint Signing-Partner and Audit-Firm Tenure and Environmental Disclosure: Evidence from Completing Partner Spells,” for consideration at the Journal of Accounting Research.</w:t>
      </w:r>
    </w:p>
    <w:p>
      <w:pPr>
        <w:jc w:val="both"/>
      </w:pPr>
      <w:r>
        <w:t>China has capped a signing partner's consecutive service to a listed client at five years since 2004, and the obligation survived the 2022 repeal through the CICPA Code of Ethics and the 2023 joint Measures. The cap made the end of every audit relationship a known, dated event years in advance. We show that the rotation event itself has no average association with environmental (E) disclosure; what moves is the tenure path, which rises into year four and falls in year five (0.646, t = 7.44). The fall concentrates where the statutory partner clock and the audit-firm clock stand in high tenure together - a coincidence point with no statutory content - with a joint-cluster differential of +0.653 (t = 5.66). The pattern is specific to the environmental pillar, larger for non-state firms, absent among firms observed in all eleven years, and bounded on the disruption alternative by null turnover shocks; realized penalties and annual-report text are null at detectable magnitudes. The design is associational throughout, and the paper states what it can and cannot claim.</w:t>
      </w:r>
    </w:p>
    <w:p>
      <w:pPr>
        <w:jc w:val="both"/>
      </w:pPr>
      <w:r>
        <w:t>We believe the paper fits the Journal's interest in the economics of auditing and regulated disclosure. It moves the partner-rotation question from the event margin to the deadline margin, contributes a non-monotonic, pillar-specific tenure path to the tenure-and-disclosure literature, and shows a statutory audit clock moving the hardest-to-verify pillar of an ESG rating.</w:t>
      </w:r>
    </w:p>
    <w:p>
      <w:pPr>
        <w:jc w:val="both"/>
      </w:pPr>
      <w:r>
        <w:t>The study complies with the Journal's Data and Code Sharing Policy. Licensed CSMAR inputs are not redistributed; the Huazheng pillar scores are public via Mendeley Data (Lin 2025, DOI: 10.17632/8fh8wtn6p5.2). The study-specific analysis code, the authors' constructed identifiers, and the non-licensed derived data will be deposited at the repository designated by the editors upon acceptance; the constructed data extract and code are available to the editor and reviewers on request during the evaluation period, subject to CSMAR licensing. A full replication package accompanies this submission.</w:t>
      </w:r>
    </w:p>
    <w:p>
      <w:pPr>
        <w:jc w:val="both"/>
      </w:pPr>
      <w:r>
        <w:t>This manuscript is original, has not been published previously, and is not under consideration at any other journal. All authors have approved the submission and declare no conflicting interests.</w:t>
      </w:r>
    </w:p>
    <w:p>
      <w:pPr>
        <w:spacing w:after="120"/>
      </w:pPr>
      <w:r>
        <w:rPr>
          <w:b w:val="0"/>
          <w:i w:val="0"/>
        </w:rPr>
      </w:r>
    </w:p>
    <w:p>
      <w:pPr>
        <w:spacing w:after="120"/>
      </w:pPr>
      <w:r>
        <w:rPr>
          <w:b w:val="0"/>
          <w:i w:val="0"/>
        </w:rPr>
        <w:t>Sincerely,</w:t>
      </w:r>
    </w:p>
    <w:p>
      <w:r>
        <w:rPr>
          <w:highlight w:val="yellow"/>
        </w:rPr>
        <w:t>[Corresponding Author Name, Title]</w:t>
      </w:r>
    </w:p>
    <w:p>
      <w:r>
        <w:rPr>
          <w:highlight w:val="yellow"/>
        </w:rPr>
        <w:t>[Affiliation, Department]</w:t>
      </w:r>
    </w:p>
    <w:p>
      <w:r>
        <w:rPr>
          <w:highlight w:val="yellow"/>
        </w:rPr>
        <w:t>[Address / Email / Phone]</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