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i w:val="0"/>
          <w:sz w:val="28"/>
        </w:rPr>
        <w:t>Data Availability Statement</w:t>
      </w:r>
    </w:p>
    <w:p>
      <w:pPr>
        <w:spacing w:after="240"/>
      </w:pPr>
      <w:r>
        <w:rPr>
          <w:b w:val="0"/>
          <w:i/>
          <w:sz w:val="19"/>
        </w:rPr>
        <w:t>(Text for the Wiley Research Exchange submission form; identical to Section 1 of the Data Availability and Source File Note.)</w:t>
      </w:r>
    </w:p>
    <w:p>
      <w:pPr>
        <w:jc w:val="both"/>
      </w:pPr>
      <w:r>
        <w:t>The findings of this study draw on third-party, commercially licensed data and on publicly available data; no human-subject or confidential personal data are used; the signing partners' names used to construct the tenure clock are public professional identifiers taken from published audit reports and are processed for no other purpose. Audit, financial, executive, and environmental-penalty records are from the CSMAR database, which is available only under a commercial license and cannot be redistributed by the authors; readers obtain these data through an institutional CSMAR subscription. The Huazheng ESG pillar scores used as the outcome and placebo measures, and the same environmental pillar as republished under a second reporting convention (E_W), are publicly available through Mendeley Data (Lin 2025, DOI: 10.17632/8fh8wtn6p5.2). Annual-report environmental-section text is taken from public exchange disclosures (Juchao Information Network, cninfo). In accordance with the Journal of Accounting Research Data and Code Sharing Policy, the authors provide a full description of every variable, the sample funnel, and the estimation scripts in Section 3 and Appendix A of the manuscript and in Sections 3 and 8 of the companion Note. The study-specific analysis code and the authors' constructed identifiers (the audit-spell ID and the signing-partner pair ID), together with the non-licensed derived data, will be deposited at the repository designated by the editors upon acceptance and given a persistent identifier to be cited in the article; the constructed data extract and code are available to the editor and reviewers on request during the evaluation period, subject to CSMAR licensing.</w:t>
      </w:r>
    </w:p>
    <w:sectPr w:rsidR="00FC693F" w:rsidRPr="0006063C" w:rsidSect="00034616">
      <w:pgSz w:w="12240" w:h="15840"/>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