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i w:val="0"/>
          <w:sz w:val="28"/>
        </w:rPr>
        <w:t>Highlights / Key Findings</w:t>
      </w:r>
    </w:p>
    <w:p>
      <w:pPr>
        <w:spacing w:after="280"/>
        <w:jc w:val="center"/>
      </w:pPr>
      <w:r>
        <w:rPr>
          <w:b w:val="0"/>
          <w:i/>
          <w:sz w:val="22"/>
        </w:rPr>
        <w:t>Joint Signing-Partner and Audit-Firm Tenure and Environmental Disclosure: Evidence from Completing Partner Spells</w:t>
      </w:r>
    </w:p>
    <w:p>
      <w:pPr>
        <w:pStyle w:val="ListBullet"/>
        <w:jc w:val="both"/>
      </w:pPr>
      <w:r>
        <w:t>China's five-year signing-partner cap made the end of each audit engagement a known, dated event for nearly two decades; the 2022 repeal removed an instrument, not the obligation.</w:t>
      </w:r>
    </w:p>
    <w:p>
      <w:pPr>
        <w:pStyle w:val="ListBullet"/>
        <w:jc w:val="both"/>
      </w:pPr>
      <w:r>
        <w:t>The rotation event itself is null for environmental disclosure (-0.075, p = 0.41); the tenure path is what moves: flat through year three, up in year four, down in year five (fall of 0.646, t = 7.44).</w:t>
      </w:r>
    </w:p>
    <w:p>
      <w:pPr>
        <w:pStyle w:val="ListBullet"/>
        <w:jc w:val="both"/>
      </w:pPr>
      <w:r>
        <w:t>The fall concentrates where the partner clock and the audit-firm clock are in high tenure together - a coincidence with no statutory content - with a joint-cluster differential of +0.653 (t = 5.66) net of pair-by-firm fixed effects.</w:t>
      </w:r>
    </w:p>
    <w:p>
      <w:pPr>
        <w:pStyle w:val="ListBullet"/>
        <w:jc w:val="both"/>
      </w:pPr>
      <w:r>
        <w:t>The pattern is specific to the environmental pillar (S and G placebos null), larger for non-state firms (0.82 vs 0.31), and not detected among firms observed in all eleven years, where the path is flat.</w:t>
      </w:r>
    </w:p>
    <w:p>
      <w:pPr>
        <w:pStyle w:val="ListBullet"/>
        <w:jc w:val="both"/>
      </w:pPr>
      <w:r>
        <w:t>Realized penalties, annual-report text, and non-deadline turnover shocks are null at detectable magnitudes, bounding the alternatives; the design is associational and the paper states its limits.</w:t>
      </w:r>
    </w:p>
    <w:sectPr w:rsidR="00FC693F" w:rsidRPr="0006063C" w:rsidSect="00034616">
      <w:pgSz w:w="12240" w:h="15840"/>
      <w:pgMar w:top="1361" w:right="1361" w:bottom="1361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