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120" w:before="700"/>
        <w:jc w:val="center"/>
      </w:pPr>
      <w:r>
        <w:rPr>
          <w:b/>
          <w:bCs/>
          <w:color w:val="028090"/>
          <w:spacing w:val="40"/>
          <w:sz w:val="24"/>
          <w:szCs w:val="24"/>
        </w:rPr>
        <w:t xml:space="preserve">GUIDE D'APPLICATION</w:t>
      </w:r>
    </w:p>
    <w:p>
      <w:pPr>
        <w:spacing w:after="200"/>
        <w:jc w:val="center"/>
      </w:pPr>
      <w:r>
        <w:rPr>
          <w:rFonts w:ascii="Cambria" w:cs="Cambria" w:eastAsia="Cambria" w:hAnsi="Cambria"/>
          <w:b w:val="false"/>
          <w:bCs w:val="false"/>
          <w:color w:val="0B2545"/>
          <w:sz w:val="32"/>
          <w:szCs w:val="32"/>
        </w:rPr>
        <w:t xml:space="preserve">Adopter les principes du</w:t>
      </w:r>
    </w:p>
    <w:p>
      <w:pPr>
        <w:spacing w:after="400"/>
        <w:jc w:val="center"/>
      </w:pPr>
      <w:r>
        <w:rPr>
          <w:rFonts w:ascii="Cambria" w:cs="Cambria" w:eastAsia="Cambria" w:hAnsi="Cambria"/>
          <w:b/>
          <w:bCs/>
          <w:color w:val="0B2545"/>
          <w:sz w:val="48"/>
          <w:szCs w:val="48"/>
        </w:rPr>
        <w:t xml:space="preserve">SPIN SELLING</w:t>
      </w:r>
    </w:p>
    <w:p>
      <w:pPr>
        <w:pBdr>
          <w:bottom w:val="single" w:color="028090" w:sz="12" w:space="1"/>
        </w:pBdr>
        <w:spacing w:after="100" w:before="200"/>
        <w:jc w:val="center"/>
      </w:pPr>
      <w:r>
        <w:rPr>
          <w:sz w:val="8"/>
          <w:szCs w:val="8"/>
        </w:rPr>
        <w:t xml:space="preserve">  </w:t>
      </w:r>
    </w:p>
    <w:p>
      <w:pPr>
        <w:spacing w:after="100" w:before="200"/>
        <w:jc w:val="center"/>
      </w:pPr>
      <w:r>
        <w:rPr>
          <w:i/>
          <w:iCs/>
          <w:color w:val="5B6B79"/>
          <w:sz w:val="20"/>
          <w:szCs w:val="20"/>
        </w:rPr>
        <w:t xml:space="preserve">D'après Neil Rackham — adapté pour une pratique de conseil indépendante</w:t>
      </w:r>
    </w:p>
    <w:p>
      <w:pPr>
        <w:spacing w:before="600"/>
        <w:jc w:val="center"/>
      </w:pPr>
      <w:r>
        <w:rPr>
          <w:color w:val="5B6B79"/>
          <w:sz w:val="18"/>
          <w:szCs w:val="18"/>
        </w:rPr>
        <w:t xml:space="preserve">Usage : apprentissage des principes + outil de référence en entretien de découverte client</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Le principe fondateur</w:t>
      </w:r>
    </w:p>
    <w:p>
      <w:pPr>
        <w:spacing w:after="160"/>
      </w:pPr>
      <w:r>
        <w:t xml:space="preserve">SPIN Selling repose sur une découverte qui va à l'encontre de presque tout ce qu'on enseigne en vente classique : dans une vente complexe et à forte valeur, ce n'est pas la technique de closing qui détermine le succès, c'est la qualité du questionnement mené en amont.</w:t>
      </w:r>
    </w:p>
    <w:p>
      <w:pPr>
        <w:pBdr>
          <w:left w:val="single" w:color="028090" w:sz="18" w:space="12"/>
        </w:pBdr>
        <w:spacing w:after="200" w:before="120"/>
        <w:ind w:left="360"/>
      </w:pPr>
      <w:r>
        <w:rPr>
          <w:i/>
          <w:iCs/>
          <w:color w:val="0B2545"/>
          <w:sz w:val="24"/>
          <w:szCs w:val="24"/>
        </w:rPr>
        <w:t xml:space="preserve">“Success in the larger sale depends, more than anything else, on how the Investigating stage of the call is handled.” — Neil Rackham</w:t>
      </w:r>
    </w:p>
    <w:p>
      <w:pPr>
        <w:spacing w:after="160"/>
      </w:pPr>
      <w:r>
        <w:t xml:space="preserve">Neil Rackham, psychologue de formation, a analysé plus de 35 000 appels de vente sur 12 ans, dans plus de 20 pays, pour comprendre ce qui distingue réellement les meilleurs vendeurs sur les grosses ventes. Sa conclusion : les techniques qui marchent sur une vente simple (closing, traitement d'objection, argumentaire produit) deviennent contre-productives sur une vente complexe.</w:t>
      </w:r>
    </w:p>
    <w:p>
      <w:pPr>
        <w:pStyle w:val="Heading2"/>
      </w:pPr>
      <w:r>
        <w:t xml:space="preserve">Pourquoi cette distinction change tout</w:t>
      </w:r>
    </w:p>
    <w:p>
      <w:pPr>
        <w:pStyle w:val="ListParagraph"/>
        <w:numPr>
          <w:ilvl w:val="0"/>
          <w:numId w:val="2"/>
        </w:numPr>
        <w:spacing w:after="100"/>
      </w:pPr>
      <w:r>
        <w:t xml:space="preserve">Une vente simple (un produit à 15€) se décide sur une impulsion ou une comparaison rapide — le closing y fonctionne bien.</w:t>
      </w:r>
    </w:p>
    <w:p>
      <w:pPr>
        <w:pStyle w:val="ListParagraph"/>
        <w:numPr>
          <w:ilvl w:val="0"/>
          <w:numId w:val="2"/>
        </w:numPr>
        <w:spacing w:after="100"/>
      </w:pPr>
      <w:r>
        <w:t xml:space="preserve">Une vente complexe (un audit à plusieurs milliers d'euros) engage une décision réfléchie, souvent collective, avec un risque perçu élevé pour l'acheteur.</w:t>
      </w:r>
    </w:p>
    <w:p>
      <w:pPr>
        <w:pStyle w:val="ListParagraph"/>
        <w:numPr>
          <w:ilvl w:val="0"/>
          <w:numId w:val="2"/>
        </w:numPr>
        <w:spacing w:after="100"/>
      </w:pPr>
      <w:r>
        <w:t xml:space="preserve">Plus l'enjeu de la vente est élevé, plus l'acheteur a besoin de construire lui-même la conviction que le problème vaut la peine d'être résolu — ce que les questions, et non l'argumentaire, permettent de 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8" w:sz="4"/>
              <w:left w:val="single" w:color="028090" w:sz="24"/>
              <w:bottom w:val="single" w:color="D9E2E8" w:sz="4"/>
              <w:right w:val="single" w:color="D9E2E8" w:sz="4"/>
            </w:tcBorders>
            <w:shd w:fill="F0F9FB" w:val="clear"/>
            <w:tcMar>
              <w:top w:type="dxa" w:w="160"/>
              <w:left w:type="dxa" w:w="200"/>
              <w:bottom w:type="dxa" w:w="160"/>
              <w:right w:type="dxa" w:w="200"/>
            </w:tcMar>
          </w:tcPr>
          <w:p>
            <w:pPr>
              <w:spacing w:after="80"/>
            </w:pPr>
            <w:r>
              <w:rPr>
                <w:b/>
                <w:bCs/>
                <w:color w:val="0B2545"/>
                <w:sz w:val="24"/>
                <w:szCs w:val="24"/>
              </w:rPr>
              <w:t xml:space="preserve">À retenir</w:t>
            </w:r>
          </w:p>
          <w:p>
            <w:r>
              <w:rPr>
                <w:color w:val="1E2D3D"/>
                <w:sz w:val="22"/>
                <w:szCs w:val="22"/>
              </w:rPr>
              <w:t xml:space="preserve">Dans une vente complexe, le rôle du vendeur n'est pas de convaincre mais de faire émerger, par les bonnes questions, une conviction que le client construit lui-même. Plus c'est lui qui le dit, plus c'est solide.</w:t>
            </w:r>
          </w:p>
        </w:tc>
      </w:tr>
    </w:tbl>
    <w:p>
      <w:pPr>
        <w:spacing w:after="200"/>
      </w:pPr>
    </w:p>
    <w:p>
      <w:pPr>
        <w:pStyle w:val="Heading1"/>
      </w:pPr>
      <w:r>
        <w:t xml:space="preserve">2. Pourquoi les techniques de vente classiques échouent en B2B complexe</w:t>
      </w:r>
    </w:p>
    <w:p>
      <w:pPr>
        <w:spacing w:after="160"/>
      </w:pPr>
      <w:r>
        <w:t xml:space="preserve">Avant d'adopter la méthode SPIN, il faut comprendre pourquoi les réflexes commerciaux « traditionnels » — hérités de la vente de produits simples — deviennent un handicap dès que la vente devient complexe et à fort enjeu.</w:t>
      </w:r>
    </w:p>
    <w:p>
      <w:pPr>
        <w:pStyle w:val="Heading2"/>
      </w:pPr>
      <w:r>
        <w:t xml:space="preserve">Les 4 réflexes qui se retournent contre toi</w:t>
      </w:r>
    </w:p>
    <w:p>
      <w:pPr>
        <w:pStyle w:val="ListParagraph"/>
        <w:numPr>
          <w:ilvl w:val="0"/>
          <w:numId w:val="3"/>
        </w:numPr>
        <w:spacing w:after="100"/>
      </w:pPr>
      <w:r>
        <w:t xml:space="preserve">Le closing prématuré — les techniques de closing (urgence artificielle, « offre limitée ») fonctionnent sur les petites ventes mais rendent les acheteurs de grosses ventes moins susceptibles d'acheter, et moins satisfaits même quand ils achètent.</w:t>
      </w:r>
    </w:p>
    <w:p>
      <w:pPr>
        <w:pStyle w:val="ListParagraph"/>
        <w:numPr>
          <w:ilvl w:val="0"/>
          <w:numId w:val="3"/>
        </w:numPr>
        <w:spacing w:after="100"/>
      </w:pPr>
      <w:r>
        <w:t xml:space="preserve">L'argumentaire produit trop tôt — présenter ta solution avant d'avoir fait émerger le problème dans toute son ampleur déclenche des objections sur le prix, simplement parce que la valeur n'a pas encore été construite dans l'esprit du client.</w:t>
      </w:r>
    </w:p>
    <w:p>
      <w:pPr>
        <w:pStyle w:val="ListParagraph"/>
        <w:numPr>
          <w:ilvl w:val="0"/>
          <w:numId w:val="3"/>
        </w:numPr>
        <w:spacing w:after="100"/>
      </w:pPr>
      <w:r>
        <w:t xml:space="preserve">Le traitement d'objection réactif — Rackham montre qu'une grande partie des objections naissent d'un défaut amont : trop de questions de situation, pas assez de questions qui font ressentir l'ampleur du problème.</w:t>
      </w:r>
    </w:p>
    <w:p>
      <w:pPr>
        <w:pStyle w:val="ListParagraph"/>
        <w:numPr>
          <w:ilvl w:val="0"/>
          <w:numId w:val="3"/>
        </w:numPr>
        <w:spacing w:after="100"/>
      </w:pPr>
      <w:r>
        <w:t xml:space="preserve">La confusion entre besoin implicite et besoin explicite — un client qui dit « j'ai un petit souci avec mes coûts IA » (besoin implicite) n'est pas encore prêt à acheter. Seul un besoin explicite, formulé avec urgence par le client lui-même, prédit le succès d'une vente complexe.</w:t>
      </w:r>
    </w:p>
    <w:p>
      <w:pPr>
        <w:pStyle w:val="Heading2"/>
      </w:pPr>
      <w:r>
        <w:t xml:space="preserve">Le signal d'alerte à reconnaître</w:t>
      </w:r>
    </w:p>
    <w:p>
      <w:pPr>
        <w:spacing w:after="160"/>
      </w:pPr>
      <w:r>
        <w:t xml:space="preserve">Si tu sens que ton prospect t'oppose des objections sur le prix très tôt dans la conversation, ce n'est presque jamais un problème de prix — c'est le signe que tu es passé à la présentation de ta solution avant d'avoir suffisamment fait émerger et ressentir le problème.</w:t>
      </w:r>
    </w:p>
    <w:p>
      <w:pPr>
        <w:spacing w:after="200"/>
      </w:pPr>
    </w:p>
    <w:p>
      <w:pPr>
        <w:pStyle w:val="Heading1"/>
      </w:pPr>
      <w:r>
        <w:t xml:space="preserve">3. Le modèle SPIN — les 4 types de questions</w:t>
      </w:r>
    </w:p>
    <w:p>
      <w:pPr>
        <w:spacing w:after="160"/>
      </w:pPr>
      <w:r>
        <w:t xml:space="preserve">Le cœur du livre tient dans un acronyme simple, mais dont l'application rigoureuse demande de l'entraînement : Situation, Problème, Implication, Need-payoff (bénéfice attendu). Chaque type de question a un rôle précis, et l'ordre dans lequel elles sont posées n'est pas interchangeable.</w:t>
      </w:r>
    </w:p>
    <w:p>
      <w:pPr>
        <w:pStyle w:val="Heading2"/>
      </w:pPr>
      <w:r>
        <w:t xml:space="preserve">S — Situation</w:t>
      </w:r>
    </w:p>
    <w:p>
      <w:pPr>
        <w:spacing w:after="160"/>
      </w:pPr>
      <w:r>
        <w:t xml:space="preserve">Questions factuelles sur le contexte actuel du client : ses outils, son organisation, ses processus en place.</w:t>
      </w:r>
    </w:p>
    <w:p>
      <w:pPr>
        <w:pStyle w:val="ListParagraph"/>
        <w:numPr>
          <w:ilvl w:val="0"/>
          <w:numId w:val="2"/>
        </w:numPr>
        <w:spacing w:after="100"/>
      </w:pPr>
      <w:r>
        <w:t xml:space="preserve">Exemple : « Quels outils IA utilisez-vous aujourd'hui, et pour quels usages ? »</w:t>
      </w:r>
    </w:p>
    <w:p>
      <w:pPr>
        <w:pStyle w:val="ListParagraph"/>
        <w:numPr>
          <w:ilvl w:val="0"/>
          <w:numId w:val="2"/>
        </w:numPr>
        <w:spacing w:after="100"/>
      </w:pPr>
      <w:r>
        <w:t xml:space="preserve">Nécessaires en début d'échange, mais à utiliser avec parcimonie. Rackham montre que les vendeurs novices en posent trop — ce qui ennuie l'acheteur et ne contribue pas, statistiquement, au succès de la vente.</w:t>
      </w:r>
    </w:p>
    <w:p>
      <w:pPr>
        <w:pStyle w:val="Heading2"/>
      </w:pPr>
      <w:r>
        <w:t xml:space="preserve">P — Problème</w:t>
      </w:r>
    </w:p>
    <w:p>
      <w:pPr>
        <w:spacing w:after="160"/>
      </w:pPr>
      <w:r>
        <w:t xml:space="preserve">Questions qui font émerger les difficultés, frustrations ou insatisfactions du client par rapport à sa situation actuelle.</w:t>
      </w:r>
    </w:p>
    <w:p>
      <w:pPr>
        <w:pStyle w:val="ListParagraph"/>
        <w:numPr>
          <w:ilvl w:val="0"/>
          <w:numId w:val="2"/>
        </w:numPr>
        <w:spacing w:after="100"/>
      </w:pPr>
      <w:r>
        <w:t xml:space="preserve">Exemple : « Êtes-vous satisfait du coût actuel de vos outils IA par rapport à leur usage réel ? »</w:t>
      </w:r>
    </w:p>
    <w:p>
      <w:pPr>
        <w:pStyle w:val="ListParagraph"/>
        <w:numPr>
          <w:ilvl w:val="0"/>
          <w:numId w:val="2"/>
        </w:numPr>
        <w:spacing w:after="100"/>
      </w:pPr>
      <w:r>
        <w:t xml:space="preserve">C'est ici que tu identifies un besoin implicite — mais un besoin implicite seul ne suffit pas à déclencher une décision d'achat sur une vente complexe.</w:t>
      </w:r>
    </w:p>
    <w:p>
      <w:pPr>
        <w:pStyle w:val="Heading2"/>
      </w:pPr>
      <w:r>
        <w:t xml:space="preserve">I — Implication</w:t>
      </w:r>
    </w:p>
    <w:p>
      <w:pPr>
        <w:spacing w:after="160"/>
      </w:pPr>
      <w:r>
        <w:t xml:space="preserve">Le type de question le plus déterminant du modèle, et le plus négligé par les vendeurs inexpérimentés. Une question d'Implication fait prendre conscience au client des conséquences réelles — souvent sous-estimées — de son problème.</w:t>
      </w:r>
    </w:p>
    <w:p>
      <w:pPr>
        <w:pStyle w:val="ListParagraph"/>
        <w:numPr>
          <w:ilvl w:val="0"/>
          <w:numId w:val="2"/>
        </w:numPr>
        <w:spacing w:after="100"/>
      </w:pPr>
      <w:r>
        <w:t xml:space="preserve">Exemple : « Si ce coût continue de croître au même rythme, quel impact cela aura-t-il sur votre budget IT dans 12 mois ? »</w:t>
      </w:r>
    </w:p>
    <w:p>
      <w:pPr>
        <w:pStyle w:val="ListParagraph"/>
        <w:numPr>
          <w:ilvl w:val="0"/>
          <w:numId w:val="2"/>
        </w:numPr>
        <w:spacing w:after="100"/>
      </w:pPr>
      <w:r>
        <w:t xml:space="preserve">C'est précisément ce type de question qui transforme un besoin implicite (« j'ai un petit souci ») en besoin explicite (« je dois résoudre ça, et vite »).</w:t>
      </w:r>
    </w:p>
    <w:p>
      <w:pPr>
        <w:pStyle w:val="Heading2"/>
      </w:pPr>
      <w:r>
        <w:t xml:space="preserve">N — Need-payoff (bénéfice attendu)</w:t>
      </w:r>
    </w:p>
    <w:p>
      <w:pPr>
        <w:spacing w:after="160"/>
      </w:pPr>
      <w:r>
        <w:t xml:space="preserve">Questions qui amènent le client à formuler lui-même la valeur d'une solution, sans que tu aies à l'affirmer à sa place.</w:t>
      </w:r>
    </w:p>
    <w:p>
      <w:pPr>
        <w:pStyle w:val="ListParagraph"/>
        <w:numPr>
          <w:ilvl w:val="0"/>
          <w:numId w:val="2"/>
        </w:numPr>
        <w:spacing w:after="100"/>
      </w:pPr>
      <w:r>
        <w:t xml:space="preserve">Exemple : « Si on réduisait ce coût de moitié tout en gardant la même qualité de service, qu'est-ce que cela changerait pour vous ? »</w:t>
      </w:r>
    </w:p>
    <w:p>
      <w:pPr>
        <w:pStyle w:val="ListParagraph"/>
        <w:numPr>
          <w:ilvl w:val="0"/>
          <w:numId w:val="2"/>
        </w:numPr>
        <w:spacing w:after="100"/>
      </w:pPr>
      <w:r>
        <w:t xml:space="preserve">C'est le client qui prononce le bénéfice — ce qui rend ce bénéfice beaucoup plus difficile à contester ensuite, y compris au moment de négocier le prix.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c>
          <w:tcPr>
            <w:tcW w:type="dxa" w:w="2400"/>
            <w:tcBorders>
              <w:top w:val="single" w:color="D9E2E8" w:sz="4"/>
              <w:left w:val="single" w:color="D9E2E8" w:sz="4"/>
              <w:bottom w:val="single" w:color="D9E2E8" w:sz="4"/>
              <w:right w:val="single" w:color="D9E2E8" w:sz="4"/>
            </w:tcBorders>
            <w:shd w:fill="0B2545" w:val="clear"/>
            <w:tcMar>
              <w:top w:type="dxa" w:w="100"/>
              <w:left w:type="dxa" w:w="120"/>
              <w:bottom w:type="dxa" w:w="100"/>
              <w:right w:type="dxa" w:w="120"/>
            </w:tcMar>
            <w:vAlign w:val="center"/>
          </w:tcPr>
          <w:p>
            <w:r>
              <w:rPr>
                <w:b/>
                <w:bCs/>
                <w:color w:val="FFFFFF"/>
                <w:sz w:val="21"/>
                <w:szCs w:val="21"/>
              </w:rPr>
              <w:t xml:space="preserve">Type de question</w:t>
            </w:r>
          </w:p>
        </w:tc>
        <w:tc>
          <w:tcPr>
            <w:tcW w:type="dxa" w:w="3460"/>
            <w:tcBorders>
              <w:top w:val="single" w:color="D9E2E8" w:sz="4"/>
              <w:left w:val="single" w:color="D9E2E8" w:sz="4"/>
              <w:bottom w:val="single" w:color="D9E2E8" w:sz="4"/>
              <w:right w:val="single" w:color="D9E2E8" w:sz="4"/>
            </w:tcBorders>
            <w:shd w:fill="0B2545" w:val="clear"/>
            <w:tcMar>
              <w:top w:type="dxa" w:w="100"/>
              <w:left w:type="dxa" w:w="120"/>
              <w:bottom w:type="dxa" w:w="100"/>
              <w:right w:type="dxa" w:w="120"/>
            </w:tcMar>
            <w:vAlign w:val="center"/>
          </w:tcPr>
          <w:p>
            <w:r>
              <w:rPr>
                <w:b/>
                <w:bCs/>
                <w:color w:val="FFFFFF"/>
                <w:sz w:val="21"/>
                <w:szCs w:val="21"/>
              </w:rPr>
              <w:t xml:space="preserve">Fonction</w:t>
            </w:r>
          </w:p>
        </w:tc>
        <w:tc>
          <w:tcPr>
            <w:tcW w:type="dxa" w:w="3500"/>
            <w:tcBorders>
              <w:top w:val="single" w:color="D9E2E8" w:sz="4"/>
              <w:left w:val="single" w:color="D9E2E8" w:sz="4"/>
              <w:bottom w:val="single" w:color="D9E2E8" w:sz="4"/>
              <w:right w:val="single" w:color="D9E2E8" w:sz="4"/>
            </w:tcBorders>
            <w:shd w:fill="0B2545" w:val="clear"/>
            <w:tcMar>
              <w:top w:type="dxa" w:w="100"/>
              <w:left w:type="dxa" w:w="120"/>
              <w:bottom w:type="dxa" w:w="100"/>
              <w:right w:type="dxa" w:w="120"/>
            </w:tcMar>
            <w:vAlign w:val="center"/>
          </w:tcPr>
          <w:p>
            <w:r>
              <w:rPr>
                <w:b/>
                <w:bCs/>
                <w:color w:val="FFFFFF"/>
                <w:sz w:val="21"/>
                <w:szCs w:val="21"/>
              </w:rPr>
              <w:t xml:space="preserve">Piège à éviter</w:t>
            </w:r>
          </w:p>
        </w:tc>
      </w:tr>
      <w:tr>
        <w:tc>
          <w:tcPr>
            <w:tcW w:type="dxa" w:w="240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Situation</w:t>
            </w:r>
          </w:p>
        </w:tc>
        <w:tc>
          <w:tcPr>
            <w:tcW w:type="dxa" w:w="346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Cartographier le contexte actuel</w:t>
            </w:r>
          </w:p>
        </w:tc>
        <w:tc>
          <w:tcPr>
            <w:tcW w:type="dxa" w:w="350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En abuser — ça ennuie et ne contribue pas au succès</w:t>
            </w:r>
          </w:p>
        </w:tc>
      </w:tr>
      <w:tr>
        <w:tc>
          <w:tcPr>
            <w:tcW w:type="dxa" w:w="2400"/>
            <w:tcBorders>
              <w:top w:val="single" w:color="D9E2E8" w:sz="4"/>
              <w:left w:val="single" w:color="D9E2E8" w:sz="4"/>
              <w:bottom w:val="single" w:color="D9E2E8" w:sz="4"/>
              <w:right w:val="single" w:color="D9E2E8" w:sz="4"/>
            </w:tcBorders>
            <w:shd w:fill="F0F9FB" w:val="clear"/>
            <w:tcMar>
              <w:top w:type="dxa" w:w="100"/>
              <w:left w:type="dxa" w:w="120"/>
              <w:bottom w:type="dxa" w:w="100"/>
              <w:right w:type="dxa" w:w="120"/>
            </w:tcMar>
            <w:vAlign w:val="center"/>
          </w:tcPr>
          <w:p>
            <w:r>
              <w:rPr>
                <w:color w:val="1E2D3D"/>
                <w:sz w:val="21"/>
                <w:szCs w:val="21"/>
              </w:rPr>
              <w:t xml:space="preserve">Problème</w:t>
            </w:r>
          </w:p>
        </w:tc>
        <w:tc>
          <w:tcPr>
            <w:tcW w:type="dxa" w:w="3460"/>
            <w:tcBorders>
              <w:top w:val="single" w:color="D9E2E8" w:sz="4"/>
              <w:left w:val="single" w:color="D9E2E8" w:sz="4"/>
              <w:bottom w:val="single" w:color="D9E2E8" w:sz="4"/>
              <w:right w:val="single" w:color="D9E2E8" w:sz="4"/>
            </w:tcBorders>
            <w:shd w:fill="F0F9FB" w:val="clear"/>
            <w:tcMar>
              <w:top w:type="dxa" w:w="100"/>
              <w:left w:type="dxa" w:w="120"/>
              <w:bottom w:type="dxa" w:w="100"/>
              <w:right w:type="dxa" w:w="120"/>
            </w:tcMar>
            <w:vAlign w:val="center"/>
          </w:tcPr>
          <w:p>
            <w:r>
              <w:rPr>
                <w:color w:val="1E2D3D"/>
                <w:sz w:val="21"/>
                <w:szCs w:val="21"/>
              </w:rPr>
              <w:t xml:space="preserve">Faire émerger l'insatisfaction</w:t>
            </w:r>
          </w:p>
        </w:tc>
        <w:tc>
          <w:tcPr>
            <w:tcW w:type="dxa" w:w="3500"/>
            <w:tcBorders>
              <w:top w:val="single" w:color="D9E2E8" w:sz="4"/>
              <w:left w:val="single" w:color="D9E2E8" w:sz="4"/>
              <w:bottom w:val="single" w:color="D9E2E8" w:sz="4"/>
              <w:right w:val="single" w:color="D9E2E8" w:sz="4"/>
            </w:tcBorders>
            <w:shd w:fill="F0F9FB" w:val="clear"/>
            <w:tcMar>
              <w:top w:type="dxa" w:w="100"/>
              <w:left w:type="dxa" w:w="120"/>
              <w:bottom w:type="dxa" w:w="100"/>
              <w:right w:type="dxa" w:w="120"/>
            </w:tcMar>
            <w:vAlign w:val="center"/>
          </w:tcPr>
          <w:p>
            <w:r>
              <w:rPr>
                <w:color w:val="1E2D3D"/>
                <w:sz w:val="21"/>
                <w:szCs w:val="21"/>
              </w:rPr>
              <w:t xml:space="preserve">S'arrêter ici sans aller plus loin</w:t>
            </w:r>
          </w:p>
        </w:tc>
      </w:tr>
      <w:tr>
        <w:tc>
          <w:tcPr>
            <w:tcW w:type="dxa" w:w="240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Implication</w:t>
            </w:r>
          </w:p>
        </w:tc>
        <w:tc>
          <w:tcPr>
            <w:tcW w:type="dxa" w:w="346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Faire ressentir les conséquences</w:t>
            </w:r>
          </w:p>
        </w:tc>
        <w:tc>
          <w:tcPr>
            <w:tcW w:type="dxa" w:w="350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Le type de question le plus souvent oublié</w:t>
            </w:r>
          </w:p>
        </w:tc>
      </w:tr>
      <w:tr>
        <w:tc>
          <w:tcPr>
            <w:tcW w:type="dxa" w:w="2400"/>
            <w:tcBorders>
              <w:top w:val="single" w:color="D9E2E8" w:sz="4"/>
              <w:left w:val="single" w:color="D9E2E8" w:sz="4"/>
              <w:bottom w:val="single" w:color="D9E2E8" w:sz="4"/>
              <w:right w:val="single" w:color="D9E2E8" w:sz="4"/>
            </w:tcBorders>
            <w:shd w:fill="F0F9FB" w:val="clear"/>
            <w:tcMar>
              <w:top w:type="dxa" w:w="100"/>
              <w:left w:type="dxa" w:w="120"/>
              <w:bottom w:type="dxa" w:w="100"/>
              <w:right w:type="dxa" w:w="120"/>
            </w:tcMar>
            <w:vAlign w:val="center"/>
          </w:tcPr>
          <w:p>
            <w:r>
              <w:rPr>
                <w:color w:val="1E2D3D"/>
                <w:sz w:val="21"/>
                <w:szCs w:val="21"/>
              </w:rPr>
              <w:t xml:space="preserve">Need-payoff</w:t>
            </w:r>
          </w:p>
        </w:tc>
        <w:tc>
          <w:tcPr>
            <w:tcW w:type="dxa" w:w="3460"/>
            <w:tcBorders>
              <w:top w:val="single" w:color="D9E2E8" w:sz="4"/>
              <w:left w:val="single" w:color="D9E2E8" w:sz="4"/>
              <w:bottom w:val="single" w:color="D9E2E8" w:sz="4"/>
              <w:right w:val="single" w:color="D9E2E8" w:sz="4"/>
            </w:tcBorders>
            <w:shd w:fill="F0F9FB" w:val="clear"/>
            <w:tcMar>
              <w:top w:type="dxa" w:w="100"/>
              <w:left w:type="dxa" w:w="120"/>
              <w:bottom w:type="dxa" w:w="100"/>
              <w:right w:type="dxa" w:w="120"/>
            </w:tcMar>
            <w:vAlign w:val="center"/>
          </w:tcPr>
          <w:p>
            <w:r>
              <w:rPr>
                <w:color w:val="1E2D3D"/>
                <w:sz w:val="21"/>
                <w:szCs w:val="21"/>
              </w:rPr>
              <w:t xml:space="preserve">Faire formuler le bénéfice par le client</w:t>
            </w:r>
          </w:p>
        </w:tc>
        <w:tc>
          <w:tcPr>
            <w:tcW w:type="dxa" w:w="3500"/>
            <w:tcBorders>
              <w:top w:val="single" w:color="D9E2E8" w:sz="4"/>
              <w:left w:val="single" w:color="D9E2E8" w:sz="4"/>
              <w:bottom w:val="single" w:color="D9E2E8" w:sz="4"/>
              <w:right w:val="single" w:color="D9E2E8" w:sz="4"/>
            </w:tcBorders>
            <w:shd w:fill="F0F9FB" w:val="clear"/>
            <w:tcMar>
              <w:top w:type="dxa" w:w="100"/>
              <w:left w:type="dxa" w:w="120"/>
              <w:bottom w:type="dxa" w:w="100"/>
              <w:right w:type="dxa" w:w="120"/>
            </w:tcMar>
            <w:vAlign w:val="center"/>
          </w:tcPr>
          <w:p>
            <w:r>
              <w:rPr>
                <w:color w:val="1E2D3D"/>
                <w:sz w:val="21"/>
                <w:szCs w:val="21"/>
              </w:rPr>
              <w:t xml:space="preserve">Répondre soi-même à sa place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8" w:sz="4"/>
              <w:left w:val="single" w:color="028090" w:sz="24"/>
              <w:bottom w:val="single" w:color="D9E2E8" w:sz="4"/>
              <w:right w:val="single" w:color="D9E2E8" w:sz="4"/>
            </w:tcBorders>
            <w:shd w:fill="F0F9FB" w:val="clear"/>
            <w:tcMar>
              <w:top w:type="dxa" w:w="160"/>
              <w:left w:type="dxa" w:w="200"/>
              <w:bottom w:type="dxa" w:w="160"/>
              <w:right w:type="dxa" w:w="200"/>
            </w:tcMar>
          </w:tcPr>
          <w:p>
            <w:pPr>
              <w:spacing w:after="80"/>
            </w:pPr>
            <w:r>
              <w:rPr>
                <w:b/>
                <w:bCs/>
                <w:color w:val="0B2545"/>
                <w:sz w:val="24"/>
                <w:szCs w:val="24"/>
              </w:rPr>
              <w:t xml:space="preserve">L'insight le plus contre-intuitif du livre</w:t>
            </w:r>
          </w:p>
          <w:p>
            <w:r>
              <w:rPr>
                <w:color w:val="1E2D3D"/>
                <w:sz w:val="22"/>
                <w:szCs w:val="22"/>
              </w:rPr>
              <w:t xml:space="preserve">Les techniques de closing, qui fonctionnent très bien sur les petites ventes, ont un effet négatif sur les grosses ventes : elles font fuir les acheteurs et réduisent leur satisfaction même quand ils achètent malgré tout. Plus la vente est grosse, moins il faut « pousser » — et plus il faut questionner.</w:t>
            </w:r>
          </w:p>
        </w:tc>
      </w:tr>
    </w:tbl>
    <w:p>
      <w:pPr>
        <w:spacing w:after="200"/>
      </w:pPr>
    </w:p>
    <w:p>
      <w:pPr>
        <w:pStyle w:val="Heading1"/>
      </w:pPr>
      <w:r>
        <w:t xml:space="preserve">4. Les 4 étapes d'un appel de vente complexe</w:t>
      </w:r>
    </w:p>
    <w:p>
      <w:pPr>
        <w:spacing w:after="160"/>
      </w:pPr>
      <w:r>
        <w:t xml:space="preserve">Rackham découpe un entretien de vente complexe en 4 phases successives. Comprendre cette structure permet de savoir, à tout moment de l'échange, ce que tu dois chercher à accomplir.</w:t>
      </w:r>
    </w:p>
    <w:p>
      <w:pPr>
        <w:pStyle w:val="Heading2"/>
      </w:pPr>
      <w:r>
        <w:t xml:space="preserve">Étape 1 — Préliminaires (Opening)</w:t>
      </w:r>
    </w:p>
    <w:p>
      <w:pPr>
        <w:spacing w:after="160"/>
      </w:pPr>
      <w:r>
        <w:t xml:space="preserve">La phase d'ouverture, où l'on établit le contact. Contrairement à une croyance répandue dans la vente classique, Rackham montre que cette phase a un impact minime sur l'issue d'une vente complexe — il est donc inutile de stresser sur « l'accroche parfaite ».</w:t>
      </w:r>
    </w:p>
    <w:p>
      <w:pPr>
        <w:pStyle w:val="Heading2"/>
      </w:pPr>
      <w:r>
        <w:t xml:space="preserve">Étape 2 — Investigation (Investigating)</w:t>
      </w:r>
    </w:p>
    <w:p>
      <w:pPr>
        <w:spacing w:after="160"/>
      </w:pPr>
      <w:r>
        <w:t xml:space="preserve">Le cœur de l'entretien : c'est ici que se déploient les questions Situation, Problème et Implication. Rackham insiste : la façon dont cette phase est menée est, plus que toute autre, déterminante pour le succès de la vente.</w:t>
      </w:r>
    </w:p>
    <w:p>
      <w:pPr>
        <w:pStyle w:val="Heading2"/>
      </w:pPr>
      <w:r>
        <w:t xml:space="preserve">Étape 3 — Démonstration de capacité (Demonstrating Capability)</w:t>
      </w:r>
    </w:p>
    <w:p>
      <w:pPr>
        <w:spacing w:after="160"/>
      </w:pPr>
      <w:r>
        <w:t xml:space="preserve">Une fois le besoin rendu explicite, tu peux montrer comment ta solution répond précisément à ce besoin — en parlant bénéfices (ce que cela résout pour le client), pas seulement caractéristiques (ce que fait ton service).</w:t>
      </w:r>
    </w:p>
    <w:p>
      <w:pPr>
        <w:pStyle w:val="Heading2"/>
      </w:pPr>
      <w:r>
        <w:t xml:space="preserve">Étape 4 — Obtention d'un engagement (Obtaining Commitment)</w:t>
      </w:r>
    </w:p>
    <w:p>
      <w:pPr>
        <w:spacing w:after="160"/>
      </w:pPr>
      <w:r>
        <w:t xml:space="preserve">Contrairement à l'idée reçue, obtenir un engagement sur une vente complexe ne signifie pas forcément signer immédiatement. Cela peut être une avancée plus modeste mais concrète : un rendez-vous suivant, l'implication d'un décideur supplémentaire, un accord de principe.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8" w:sz="4"/>
              <w:left w:val="single" w:color="02C39A" w:sz="24"/>
              <w:bottom w:val="single" w:color="D9E2E8" w:sz="4"/>
              <w:right w:val="single" w:color="D9E2E8" w:sz="4"/>
            </w:tcBorders>
            <w:shd w:fill="F0F9FB" w:val="clear"/>
            <w:tcMar>
              <w:top w:type="dxa" w:w="160"/>
              <w:left w:type="dxa" w:w="200"/>
              <w:bottom w:type="dxa" w:w="160"/>
              <w:right w:type="dxa" w:w="200"/>
            </w:tcMar>
          </w:tcPr>
          <w:p>
            <w:pPr>
              <w:spacing w:after="80"/>
            </w:pPr>
            <w:r>
              <w:rPr>
                <w:b/>
                <w:bCs/>
                <w:color w:val="0B2545"/>
                <w:sz w:val="24"/>
                <w:szCs w:val="24"/>
              </w:rPr>
              <w:t xml:space="preserve">Pourquoi ça compte pour toi</w:t>
            </w:r>
          </w:p>
          <w:p>
            <w:r>
              <w:rPr>
                <w:color w:val="1E2D3D"/>
                <w:sz w:val="22"/>
                <w:szCs w:val="22"/>
              </w:rPr>
              <w:t xml:space="preserve">Une bonne partie de ton énergie commerciale doit se concentrer sur l'étape d'Investigation, pas sur l'ouverture ou la conclusion. C'est dans cette phase, et nulle part ailleurs, que se construit la perception de valeur qui justifiera ton prix plus tard.</w:t>
            </w:r>
          </w:p>
        </w:tc>
      </w:tr>
    </w:tbl>
    <w:p>
      <w:pPr>
        <w:spacing w:after="200"/>
      </w:pPr>
    </w:p>
    <w:p>
      <w:pPr>
        <w:pStyle w:val="Heading1"/>
      </w:pPr>
      <w:r>
        <w:t xml:space="preserve">5. Démontrer ses capacités sans déclencher d'objection</w:t>
      </w:r>
    </w:p>
    <w:p>
      <w:pPr>
        <w:spacing w:after="160"/>
      </w:pPr>
      <w:r>
        <w:t xml:space="preserve">Une fois le besoin explicite établi, la façon de présenter ta solution influence directement le niveau d'objections que tu vas rencontrer.</w:t>
      </w:r>
    </w:p>
    <w:p>
      <w:pPr>
        <w:pStyle w:val="Heading2"/>
      </w:pPr>
      <w:r>
        <w:t xml:space="preserve">La différence entre caractéristique, avantage et bénéfice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c>
          <w:tcPr>
            <w:tcW w:type="dxa" w:w="2400"/>
            <w:tcBorders>
              <w:top w:val="single" w:color="D9E2E8" w:sz="4"/>
              <w:left w:val="single" w:color="D9E2E8" w:sz="4"/>
              <w:bottom w:val="single" w:color="D9E2E8" w:sz="4"/>
              <w:right w:val="single" w:color="D9E2E8" w:sz="4"/>
            </w:tcBorders>
            <w:shd w:fill="0B2545" w:val="clear"/>
            <w:tcMar>
              <w:top w:type="dxa" w:w="100"/>
              <w:left w:type="dxa" w:w="120"/>
              <w:bottom w:type="dxa" w:w="100"/>
              <w:right w:type="dxa" w:w="120"/>
            </w:tcMar>
            <w:vAlign w:val="center"/>
          </w:tcPr>
          <w:p>
            <w:r>
              <w:rPr>
                <w:b/>
                <w:bCs/>
                <w:color w:val="FFFFFF"/>
                <w:sz w:val="21"/>
                <w:szCs w:val="21"/>
              </w:rPr>
              <w:t xml:space="preserve">Notion</w:t>
            </w:r>
          </w:p>
        </w:tc>
        <w:tc>
          <w:tcPr>
            <w:tcW w:type="dxa" w:w="3460"/>
            <w:tcBorders>
              <w:top w:val="single" w:color="D9E2E8" w:sz="4"/>
              <w:left w:val="single" w:color="D9E2E8" w:sz="4"/>
              <w:bottom w:val="single" w:color="D9E2E8" w:sz="4"/>
              <w:right w:val="single" w:color="D9E2E8" w:sz="4"/>
            </w:tcBorders>
            <w:shd w:fill="0B2545" w:val="clear"/>
            <w:tcMar>
              <w:top w:type="dxa" w:w="100"/>
              <w:left w:type="dxa" w:w="120"/>
              <w:bottom w:type="dxa" w:w="100"/>
              <w:right w:type="dxa" w:w="120"/>
            </w:tcMar>
            <w:vAlign w:val="center"/>
          </w:tcPr>
          <w:p>
            <w:r>
              <w:rPr>
                <w:b/>
                <w:bCs/>
                <w:color w:val="FFFFFF"/>
                <w:sz w:val="21"/>
                <w:szCs w:val="21"/>
              </w:rPr>
              <w:t xml:space="preserve">Définition</w:t>
            </w:r>
          </w:p>
        </w:tc>
        <w:tc>
          <w:tcPr>
            <w:tcW w:type="dxa" w:w="3500"/>
            <w:tcBorders>
              <w:top w:val="single" w:color="D9E2E8" w:sz="4"/>
              <w:left w:val="single" w:color="D9E2E8" w:sz="4"/>
              <w:bottom w:val="single" w:color="D9E2E8" w:sz="4"/>
              <w:right w:val="single" w:color="D9E2E8" w:sz="4"/>
            </w:tcBorders>
            <w:shd w:fill="0B2545" w:val="clear"/>
            <w:tcMar>
              <w:top w:type="dxa" w:w="100"/>
              <w:left w:type="dxa" w:w="120"/>
              <w:bottom w:type="dxa" w:w="100"/>
              <w:right w:type="dxa" w:w="120"/>
            </w:tcMar>
            <w:vAlign w:val="center"/>
          </w:tcPr>
          <w:p>
            <w:r>
              <w:rPr>
                <w:b/>
                <w:bCs/>
                <w:color w:val="FFFFFF"/>
                <w:sz w:val="21"/>
                <w:szCs w:val="21"/>
              </w:rPr>
              <w:t xml:space="preserve">Exemple appliqué à ton offre</w:t>
            </w:r>
          </w:p>
        </w:tc>
      </w:tr>
      <w:tr>
        <w:tc>
          <w:tcPr>
            <w:tcW w:type="dxa" w:w="240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Caractéristique</w:t>
            </w:r>
          </w:p>
        </w:tc>
        <w:tc>
          <w:tcPr>
            <w:tcW w:type="dxa" w:w="346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Un fait sur ton service</w:t>
            </w:r>
          </w:p>
        </w:tc>
        <w:tc>
          <w:tcPr>
            <w:tcW w:type="dxa" w:w="350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 J'utilise Python et Streamlit »</w:t>
            </w:r>
          </w:p>
        </w:tc>
      </w:tr>
      <w:tr>
        <w:tc>
          <w:tcPr>
            <w:tcW w:type="dxa" w:w="2400"/>
            <w:tcBorders>
              <w:top w:val="single" w:color="D9E2E8" w:sz="4"/>
              <w:left w:val="single" w:color="D9E2E8" w:sz="4"/>
              <w:bottom w:val="single" w:color="D9E2E8" w:sz="4"/>
              <w:right w:val="single" w:color="D9E2E8" w:sz="4"/>
            </w:tcBorders>
            <w:shd w:fill="F0F9FB" w:val="clear"/>
            <w:tcMar>
              <w:top w:type="dxa" w:w="100"/>
              <w:left w:type="dxa" w:w="120"/>
              <w:bottom w:type="dxa" w:w="100"/>
              <w:right w:type="dxa" w:w="120"/>
            </w:tcMar>
            <w:vAlign w:val="center"/>
          </w:tcPr>
          <w:p>
            <w:r>
              <w:rPr>
                <w:color w:val="1E2D3D"/>
                <w:sz w:val="21"/>
                <w:szCs w:val="21"/>
              </w:rPr>
              <w:t xml:space="preserve">Avantage</w:t>
            </w:r>
          </w:p>
        </w:tc>
        <w:tc>
          <w:tcPr>
            <w:tcW w:type="dxa" w:w="3460"/>
            <w:tcBorders>
              <w:top w:val="single" w:color="D9E2E8" w:sz="4"/>
              <w:left w:val="single" w:color="D9E2E8" w:sz="4"/>
              <w:bottom w:val="single" w:color="D9E2E8" w:sz="4"/>
              <w:right w:val="single" w:color="D9E2E8" w:sz="4"/>
            </w:tcBorders>
            <w:shd w:fill="F0F9FB" w:val="clear"/>
            <w:tcMar>
              <w:top w:type="dxa" w:w="100"/>
              <w:left w:type="dxa" w:w="120"/>
              <w:bottom w:type="dxa" w:w="100"/>
              <w:right w:type="dxa" w:w="120"/>
            </w:tcMar>
            <w:vAlign w:val="center"/>
          </w:tcPr>
          <w:p>
            <w:r>
              <w:rPr>
                <w:color w:val="1E2D3D"/>
                <w:sz w:val="21"/>
                <w:szCs w:val="21"/>
              </w:rPr>
              <w:t xml:space="preserve">Ce que cette caractéristique permet, en général</w:t>
            </w:r>
          </w:p>
        </w:tc>
        <w:tc>
          <w:tcPr>
            <w:tcW w:type="dxa" w:w="3500"/>
            <w:tcBorders>
              <w:top w:val="single" w:color="D9E2E8" w:sz="4"/>
              <w:left w:val="single" w:color="D9E2E8" w:sz="4"/>
              <w:bottom w:val="single" w:color="D9E2E8" w:sz="4"/>
              <w:right w:val="single" w:color="D9E2E8" w:sz="4"/>
            </w:tcBorders>
            <w:shd w:fill="F0F9FB" w:val="clear"/>
            <w:tcMar>
              <w:top w:type="dxa" w:w="100"/>
              <w:left w:type="dxa" w:w="120"/>
              <w:bottom w:type="dxa" w:w="100"/>
              <w:right w:type="dxa" w:w="120"/>
            </w:tcMar>
            <w:vAlign w:val="center"/>
          </w:tcPr>
          <w:p>
            <w:r>
              <w:rPr>
                <w:color w:val="1E2D3D"/>
                <w:sz w:val="21"/>
                <w:szCs w:val="21"/>
              </w:rPr>
              <w:t xml:space="preserve">« Ça permet de livrer des outils rapidement »</w:t>
            </w:r>
          </w:p>
        </w:tc>
      </w:tr>
      <w:tr>
        <w:tc>
          <w:tcPr>
            <w:tcW w:type="dxa" w:w="240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Bénéfice</w:t>
            </w:r>
          </w:p>
        </w:tc>
        <w:tc>
          <w:tcPr>
            <w:tcW w:type="dxa" w:w="346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Ce que ça résout, pour ce client précis et ce besoin explicite formulé</w:t>
            </w:r>
          </w:p>
        </w:tc>
        <w:tc>
          <w:tcPr>
            <w:tcW w:type="dxa" w:w="3500"/>
            <w:tcBorders>
              <w:top w:val="single" w:color="D9E2E8" w:sz="4"/>
              <w:left w:val="single" w:color="D9E2E8" w:sz="4"/>
              <w:bottom w:val="single" w:color="D9E2E8" w:sz="4"/>
              <w:right w:val="single" w:color="D9E2E8" w:sz="4"/>
            </w:tcBorders>
            <w:shd w:fill="FFFFFF" w:val="clear"/>
            <w:tcMar>
              <w:top w:type="dxa" w:w="100"/>
              <w:left w:type="dxa" w:w="120"/>
              <w:bottom w:type="dxa" w:w="100"/>
              <w:right w:type="dxa" w:w="120"/>
            </w:tcMar>
            <w:vAlign w:val="center"/>
          </w:tcPr>
          <w:p>
            <w:r>
              <w:rPr>
                <w:color w:val="1E2D3D"/>
                <w:sz w:val="21"/>
                <w:szCs w:val="21"/>
              </w:rPr>
              <w:t xml:space="preserve">« Vous gagnez les 8h/semaine que vous perdez aujourd'hui sur ce reporting »</w:t>
            </w:r>
          </w:p>
        </w:tc>
      </w:tr>
    </w:tbl>
    <w:p>
      <w:pPr>
        <w:spacing w:after="200"/>
      </w:pPr>
    </w:p>
    <w:p>
      <w:pPr>
        <w:spacing w:after="160"/>
      </w:pPr>
      <w:r>
        <w:t xml:space="preserve">Rackham montre que les avantages (avantages génériques) suffisent à répondre à un besoin implicite, mais que seuls les bénéfices, adressés à un besoin explicite déjà formulé par le client, préviennent efficacement les objections.</w:t>
      </w:r>
    </w:p>
    <w:p>
      <w:pPr>
        <w:pStyle w:val="Heading2"/>
      </w:pPr>
      <w:r>
        <w:t xml:space="preserve">Pourquoi les objections naissent souvent trop tôt</w:t>
      </w:r>
    </w:p>
    <w:p>
      <w:pPr>
        <w:pStyle w:val="ListParagraph"/>
        <w:numPr>
          <w:ilvl w:val="0"/>
          <w:numId w:val="2"/>
        </w:numPr>
        <w:spacing w:after="100"/>
      </w:pPr>
      <w:r>
        <w:t xml:space="preserve">Si tu reçois beaucoup d'objections en début d'échange, c'est généralement le signe que tu proposes des solutions ou capacités avant d'avoir posé suffisamment de questions.</w:t>
      </w:r>
    </w:p>
    <w:p>
      <w:pPr>
        <w:pStyle w:val="ListParagraph"/>
        <w:numPr>
          <w:ilvl w:val="0"/>
          <w:numId w:val="2"/>
        </w:numPr>
        <w:spacing w:after="100"/>
      </w:pPr>
      <w:r>
        <w:t xml:space="preserve">Construire le besoin avant de répondre au besoin évite la plupart des objections — elles n'ont simplement plus de raison d'apparaître.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8" w:sz="4"/>
              <w:left w:val="single" w:color="028090" w:sz="24"/>
              <w:bottom w:val="single" w:color="D9E2E8" w:sz="4"/>
              <w:right w:val="single" w:color="D9E2E8" w:sz="4"/>
            </w:tcBorders>
            <w:shd w:fill="F0F9FB" w:val="clear"/>
            <w:tcMar>
              <w:top w:type="dxa" w:w="160"/>
              <w:left w:type="dxa" w:w="200"/>
              <w:bottom w:type="dxa" w:w="160"/>
              <w:right w:type="dxa" w:w="200"/>
            </w:tcMar>
          </w:tcPr>
          <w:p>
            <w:pPr>
              <w:spacing w:after="80"/>
            </w:pPr>
            <w:r>
              <w:rPr>
                <w:b/>
                <w:bCs/>
                <w:color w:val="0B2545"/>
                <w:sz w:val="24"/>
                <w:szCs w:val="24"/>
              </w:rPr>
              <w:t xml:space="preserve">Piège à éviter</w:t>
            </w:r>
          </w:p>
          <w:p>
            <w:r>
              <w:rPr>
                <w:color w:val="1E2D3D"/>
                <w:sz w:val="22"/>
                <w:szCs w:val="22"/>
              </w:rPr>
              <w:t xml:space="preserve">Ne réponds jamais à un besoin implicite (« j'ai un souci avec mes coûts ») avec une solution complète. Le client n'a pas encore perçu l'ampleur du problème ; ta réponse lui paraîtra disproportionnée par rapport au prix, et il objectera.</w:t>
            </w:r>
          </w:p>
        </w:tc>
      </w:tr>
    </w:tbl>
    <w:p>
      <w:pPr>
        <w:spacing w:after="200"/>
      </w:pPr>
    </w:p>
    <w:p>
      <w:pPr>
        <w:pStyle w:val="Heading1"/>
      </w:pPr>
      <w:r>
        <w:t xml:space="preserve">6. Les erreurs à éviter absolument</w:t>
      </w:r>
    </w:p>
    <w:p>
      <w:pPr>
        <w:pStyle w:val="Heading2"/>
      </w:pPr>
      <w:r>
        <w:t xml:space="preserve">Erreur n°1 — Multiplier les questions de Situation</w:t>
      </w:r>
    </w:p>
    <w:p>
      <w:pPr>
        <w:spacing w:after="160"/>
      </w:pPr>
      <w:r>
        <w:t xml:space="preserve">C'est l'erreur la plus fréquente des vendeurs débutants : elles sont faciles à poser et rassurantes pour le vendeur, mais Rackham montre qu'elles ne contribuent pas au succès de la vente au-delà d'un minimum nécessaire. Pire, en abuser ennuie l'acheteur.</w:t>
      </w:r>
    </w:p>
    <w:p>
      <w:pPr>
        <w:pStyle w:val="ListParagraph"/>
        <w:numPr>
          <w:ilvl w:val="0"/>
          <w:numId w:val="2"/>
        </w:numPr>
        <w:spacing w:after="100"/>
      </w:pPr>
      <w:r>
        <w:t xml:space="preserve">Réflexe à adopter : limite les questions de Situation à ce qui est strictement nécessaire pour passer aux questions de Problème.</w:t>
      </w:r>
    </w:p>
    <w:p>
      <w:pPr>
        <w:pStyle w:val="Heading2"/>
      </w:pPr>
      <w:r>
        <w:t xml:space="preserve">Erreur n°2 — Sauter l'étape Implication</w:t>
      </w:r>
    </w:p>
    <w:p>
      <w:pPr>
        <w:spacing w:after="160"/>
      </w:pPr>
      <w:r>
        <w:t xml:space="preserve">C'est l'erreur la plus coûteuse. Sans question d'Implication, le besoin reste implicite, et un besoin implicite ne suffit pas à motiver une décision d'achat dans une vente complexe.</w:t>
      </w:r>
    </w:p>
    <w:p>
      <w:pPr>
        <w:pStyle w:val="Heading2"/>
      </w:pPr>
      <w:r>
        <w:t xml:space="preserve">Erreur n°3 — Présenter la solution avant le Need-payoff</w:t>
      </w:r>
    </w:p>
    <w:p>
      <w:pPr>
        <w:spacing w:after="160"/>
      </w:pPr>
      <w:r>
        <w:t xml:space="preserve">Présenter ta solution avant d'avoir fait formuler le bénéfice par le client lui-même revient à affirmer une valeur à sa place — ce qui la rend immédiatement plus contestable.</w:t>
      </w:r>
    </w:p>
    <w:p>
      <w:pPr>
        <w:pStyle w:val="Heading2"/>
      </w:pPr>
      <w:r>
        <w:t xml:space="preserve">Erreur n°4 — Utiliser des techniques de closing agressives</w:t>
      </w:r>
    </w:p>
    <w:p>
      <w:pPr>
        <w:spacing w:after="160"/>
      </w:pPr>
      <w:r>
        <w:t xml:space="preserve">Sur une vente complexe, ces techniques produisent l'effet inverse de celui recherché : elles diminuent la probabilité d'achat et la satisfaction post-achat.</w:t>
      </w:r>
    </w:p>
    <w:p>
      <w:pPr>
        <w:pStyle w:val="Heading2"/>
      </w:pPr>
      <w:r>
        <w:t xml:space="preserve">Erreur n°5 — Sur-investir dans l'ouverture de l'appel</w:t>
      </w:r>
    </w:p>
    <w:p>
      <w:pPr>
        <w:spacing w:after="160"/>
      </w:pPr>
      <w:r>
        <w:t xml:space="preserve">Une accroche « parfaite » ne compense pas une investigation faible. Réoriente ton énergie de préparation vers la liste de questions Implication et Need-payoff que tu vas poser, pas vers ta phrase d'ouverture.</w:t>
      </w:r>
    </w:p>
    <w:p>
      <w:pPr>
        <w:spacing w:after="200"/>
      </w:pPr>
    </w:p>
    <w:p>
      <w:pPr>
        <w:pStyle w:val="Heading1"/>
      </w:pPr>
      <w:r>
        <w:t xml:space="preserve">7. Checklist terrain — avant chaque entretien de découverte</w:t>
      </w:r>
    </w:p>
    <w:p>
      <w:pPr>
        <w:spacing w:after="160"/>
      </w:pPr>
      <w:r>
        <w:t xml:space="preserve">À consulter juste avant un appel ou un rendez-vous avec un prospect, pour préparer tes questions dans le bon ordre.</w:t>
      </w:r>
    </w:p>
    <w:p>
      <w:pPr>
        <w:pStyle w:val="Heading2"/>
      </w:pPr>
      <w:r>
        <w:t xml:space="preserve">Avant le rendez-vous</w:t>
      </w:r>
    </w:p>
    <w:p>
      <w:pPr>
        <w:pStyle w:val="ListParagraph"/>
        <w:numPr>
          <w:ilvl w:val="0"/>
          <w:numId w:val="2"/>
        </w:numPr>
        <w:spacing w:after="100"/>
      </w:pPr>
      <w:r>
        <w:t xml:space="preserve">Ai-je préparé 2-3 questions de Situation, strictement nécessaires, pas plus ?</w:t>
      </w:r>
    </w:p>
    <w:p>
      <w:pPr>
        <w:pStyle w:val="ListParagraph"/>
        <w:numPr>
          <w:ilvl w:val="0"/>
          <w:numId w:val="2"/>
        </w:numPr>
        <w:spacing w:after="100"/>
      </w:pPr>
      <w:r>
        <w:t xml:space="preserve">Ai-je anticipé les Problèmes probables de ce type de client, pour préparer des questions de Problème ciblées ?</w:t>
      </w:r>
    </w:p>
    <w:p>
      <w:pPr>
        <w:pStyle w:val="ListParagraph"/>
        <w:numPr>
          <w:ilvl w:val="0"/>
          <w:numId w:val="2"/>
        </w:numPr>
        <w:spacing w:after="100"/>
      </w:pPr>
      <w:r>
        <w:t xml:space="preserve">Ai-je réfléchi à au moins 2 questions d'Implication possibles, adaptées à ce contexte précis ?</w:t>
      </w:r>
    </w:p>
    <w:p>
      <w:pPr>
        <w:pStyle w:val="ListParagraph"/>
        <w:numPr>
          <w:ilvl w:val="0"/>
          <w:numId w:val="2"/>
        </w:numPr>
        <w:spacing w:after="100"/>
      </w:pPr>
      <w:r>
        <w:t xml:space="preserve">Ai-je préparé une question de Need-payoff plutôt que de préparer mon argumentaire de solution ?</w:t>
      </w:r>
    </w:p>
    <w:p>
      <w:pPr>
        <w:pStyle w:val="Heading2"/>
      </w:pPr>
      <w:r>
        <w:t xml:space="preserve">Pendant le rendez-vous</w:t>
      </w:r>
    </w:p>
    <w:p>
      <w:pPr>
        <w:pStyle w:val="ListParagraph"/>
        <w:numPr>
          <w:ilvl w:val="0"/>
          <w:numId w:val="2"/>
        </w:numPr>
        <w:spacing w:after="100"/>
      </w:pPr>
      <w:r>
        <w:t xml:space="preserve">Ai-je évité de m'attarder sur les questions de Situation au-delà du nécessaire ?</w:t>
      </w:r>
    </w:p>
    <w:p>
      <w:pPr>
        <w:pStyle w:val="ListParagraph"/>
        <w:numPr>
          <w:ilvl w:val="0"/>
          <w:numId w:val="2"/>
        </w:numPr>
        <w:spacing w:after="100"/>
      </w:pPr>
      <w:r>
        <w:t xml:space="preserve">Ai-je laissé le client exprimer lui-même l'ampleur du problème via mes questions d'Implication, plutôt que de l'affirmer à sa place ?</w:t>
      </w:r>
    </w:p>
    <w:p>
      <w:pPr>
        <w:pStyle w:val="ListParagraph"/>
        <w:numPr>
          <w:ilvl w:val="0"/>
          <w:numId w:val="2"/>
        </w:numPr>
        <w:spacing w:after="100"/>
      </w:pPr>
      <w:r>
        <w:t xml:space="preserve">Ai-je résisté à l'envie de présenter ma solution avant d'avoir entendu un besoin explicite formulé par le client ?</w:t>
      </w:r>
    </w:p>
    <w:p>
      <w:pPr>
        <w:pStyle w:val="ListParagraph"/>
        <w:numPr>
          <w:ilvl w:val="0"/>
          <w:numId w:val="2"/>
        </w:numPr>
        <w:spacing w:after="100"/>
      </w:pPr>
      <w:r>
        <w:t xml:space="preserve">Ai-je posé au moins une question de Need-payoff avant de parler de mon offre ?</w:t>
      </w:r>
    </w:p>
    <w:p>
      <w:pPr>
        <w:pStyle w:val="Heading2"/>
      </w:pPr>
      <w:r>
        <w:t xml:space="preserve">Après le rendez-vous</w:t>
      </w:r>
    </w:p>
    <w:p>
      <w:pPr>
        <w:pStyle w:val="ListParagraph"/>
        <w:numPr>
          <w:ilvl w:val="0"/>
          <w:numId w:val="2"/>
        </w:numPr>
        <w:spacing w:after="100"/>
      </w:pPr>
      <w:r>
        <w:t xml:space="preserve">Le client a-t-il formulé lui-même un besoin explicite (« je dois résoudre ça »), ou suis-je resté au stade du besoin implicite (« j'ai un souci ») ?</w:t>
      </w:r>
    </w:p>
    <w:p>
      <w:pPr>
        <w:pStyle w:val="ListParagraph"/>
        <w:numPr>
          <w:ilvl w:val="0"/>
          <w:numId w:val="2"/>
        </w:numPr>
        <w:spacing w:after="100"/>
      </w:pPr>
      <w:r>
        <w:t xml:space="preserve">Si le besoin est resté implicite, quelle question d'Implication aurais-je dû poser en plus ?</w:t>
      </w:r>
    </w:p>
    <w:p>
      <w:pPr>
        <w:pStyle w:val="ListParagraph"/>
        <w:numPr>
          <w:ilvl w:val="0"/>
          <w:numId w:val="2"/>
        </w:numPr>
        <w:spacing w:after="100"/>
      </w:pPr>
      <w:r>
        <w:t xml:space="preserve">Ma proposition va-t-elle parler bénéfices pour ce client précis, ou caractéristiques génériques de mon service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8" w:sz="4"/>
              <w:left w:val="single" w:color="02C39A" w:sz="24"/>
              <w:bottom w:val="single" w:color="D9E2E8" w:sz="4"/>
              <w:right w:val="single" w:color="D9E2E8" w:sz="4"/>
            </w:tcBorders>
            <w:shd w:fill="F0F9FB" w:val="clear"/>
            <w:tcMar>
              <w:top w:type="dxa" w:w="160"/>
              <w:left w:type="dxa" w:w="200"/>
              <w:bottom w:type="dxa" w:w="160"/>
              <w:right w:type="dxa" w:w="200"/>
            </w:tcMar>
          </w:tcPr>
          <w:p>
            <w:pPr>
              <w:spacing w:after="80"/>
            </w:pPr>
            <w:r>
              <w:rPr>
                <w:b/>
                <w:bCs/>
                <w:color w:val="0B2545"/>
                <w:sz w:val="24"/>
                <w:szCs w:val="24"/>
              </w:rPr>
              <w:t xml:space="preserve">Phrase-clé à garder en tête</w:t>
            </w:r>
          </w:p>
          <w:p>
            <w:r>
              <w:rPr>
                <w:color w:val="1E2D3D"/>
                <w:sz w:val="22"/>
                <w:szCs w:val="22"/>
              </w:rPr>
              <w:t xml:space="preserve">« Je ne vends pas en répondant à des problèmes. Je vends en aidant le client à découvrir l'ampleur réelle de son problème — et c'est lui qui, à la fin, me dit ce que ça vaut de le résoudre. »</w:t>
            </w:r>
          </w:p>
        </w:tc>
      </w:tr>
    </w:tbl>
    <w:p>
      <w:pPr>
        <w:spacing w:after="300"/>
      </w:pPr>
    </w:p>
    <w:p>
      <w:pPr>
        <w:pStyle w:val="Heading2"/>
      </w:pPr>
      <w:r>
        <w:t xml:space="preserve">Pour aller plus loin</w:t>
      </w:r>
    </w:p>
    <w:p>
      <w:pPr>
        <w:spacing w:after="160"/>
      </w:pPr>
      <w:r>
        <w:t xml:space="preserve">Ce document synthétise les principes centraux de SPIN Selling pour une application directe à tes entretiens de découverte client. La lecture complète du livre de Neil Rackham permettra d'approfondir le traitement des objections, les techniques d'obtention d'engagement, et les études de cas originales issues des 35 000 appels analysés.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9"/>
        <w:sz w:val="16"/>
        <w:szCs w:val="16"/>
      </w:rPr>
      <w:t xml:space="preserve">Page </w:t>
    </w:r>
    <w:r>
      <w:rPr>
        <w:color w:val="5B6B79"/>
        <w:sz w:val="16"/>
        <w:szCs w:val="16"/>
      </w:rPr>
      <w:fldChar w:fldCharType="begin"/>
      <w:instrText xml:space="preserve">PAGE</w:instrText>
      <w:fldChar w:fldCharType="separate"/>
      <w:fldChar w:fldCharType="end"/>
    </w:r>
    <w:r>
      <w:rPr>
        <w:color w:val="5B6B79"/>
        <w:sz w:val="16"/>
        <w:szCs w:val="16"/>
      </w:rPr>
      <w:t xml:space="preserve"> / </w:t>
    </w:r>
    <w:r>
      <w:rPr>
        <w:color w:val="5B6B7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8" w:sz="4" w:space="4"/>
      </w:pBdr>
      <w:jc w:val="right"/>
    </w:pPr>
    <w:r>
      <w:rPr>
        <w:b/>
        <w:bCs/>
        <w:color w:val="5B6B79"/>
        <w:sz w:val="16"/>
        <w:szCs w:val="16"/>
      </w:rPr>
      <w:t xml:space="preserve">SPIN SELLING — GUIDE D'APPLICATION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8090" w:sz="8" w:space="6"/>
      </w:pBdr>
      <w:spacing w:after="240" w:before="480"/>
      <w:outlineLvl w:val="0"/>
    </w:pPr>
    <w:rPr>
      <w:rFonts w:ascii="Cambria" w:cs="Cambria" w:eastAsia="Cambria" w:hAnsi="Cambria"/>
      <w:b/>
      <w:bCs/>
      <w:color w:val="0B2545"/>
      <w:sz w:val="36"/>
      <w:szCs w:val="36"/>
    </w:rPr>
  </w:style>
  <w:style w:type="paragraph" w:styleId="Heading2">
    <w:name w:val="Heading 2"/>
    <w:basedOn w:val="Normal"/>
    <w:next w:val="Normal"/>
    <w:qFormat/>
    <w:pPr>
      <w:spacing w:after="160" w:before="320"/>
      <w:outlineLvl w:val="1"/>
    </w:pPr>
    <w:rPr>
      <w:rFonts w:ascii="Cambria" w:cs="Cambria" w:eastAsia="Cambria" w:hAnsi="Cambria"/>
      <w:b/>
      <w:bCs/>
      <w:color w:val="028090"/>
      <w:sz w:val="27"/>
      <w:szCs w:val="27"/>
    </w:rPr>
  </w:style>
  <w:style w:type="paragraph" w:styleId="Heading3">
    <w:name w:val="Heading 3"/>
    <w:basedOn w:val="Normal"/>
    <w:next w:val="Normal"/>
    <w:qFormat/>
    <w:pPr>
      <w:spacing w:after="120" w:before="220"/>
      <w:outlineLvl w:val="2"/>
    </w:pPr>
    <w:rPr>
      <w:rFonts w:ascii="Calibri" w:cs="Calibri" w:eastAsia="Calibri" w:hAnsi="Calibri"/>
      <w:b/>
      <w:bCs/>
      <w:color w:val="0B25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Adopter les principes du SPIN SELLING</dc:title>
  <dc:creator>Charlin</dc:creator>
  <cp:lastModifiedBy>Un-named</cp:lastModifiedBy>
  <cp:revision>1</cp:revision>
  <dcterms:created xsi:type="dcterms:W3CDTF">2026-06-24T22:19:20.797Z</dcterms:created>
  <dcterms:modified xsi:type="dcterms:W3CDTF">2026-06-24T22:19:20.798Z</dcterms:modified>
</cp:coreProperties>
</file>

<file path=docProps/custom.xml><?xml version="1.0" encoding="utf-8"?>
<Properties xmlns="http://schemas.openxmlformats.org/officeDocument/2006/custom-properties" xmlns:vt="http://schemas.openxmlformats.org/officeDocument/2006/docPropsVTypes"/>
</file>