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F3864"/>
          <w:sz w:val="40"/>
          <w:szCs w:val="40"/>
        </w:rPr>
        <w:t xml:space="preserve">Plan de sondage annuel du panel mensuel</w:t>
      </w:r>
    </w:p>
    <w:p>
      <w:pPr>
        <w:spacing w:after="2400"/>
        <w:jc w:val="center"/>
      </w:pPr>
      <w:r>
        <w:rPr>
          <w:rFonts w:ascii="Calibri" w:cs="Calibri" w:eastAsia="Calibri" w:hAnsi="Calibri"/>
          <w:i/>
          <w:iCs/>
          <w:color w:val="595959"/>
          <w:sz w:val="24"/>
          <w:szCs w:val="24"/>
        </w:rPr>
        <w:t xml:space="preserve">Deux observations par individu, espacées de six mois, avec charge mensuelle uniforme</w:t>
      </w:r>
    </w:p>
    <w:p>
      <w:pPr>
        <w:spacing w:after="120" w:line="276"/>
        <w:jc w:val="center"/>
      </w:pPr>
      <w:r>
        <w:rPr>
          <w:rFonts w:ascii="Calibri" w:cs="Calibri" w:eastAsia="Calibri" w:hAnsi="Calibri"/>
          <w:b/>
          <w:bCs/>
          <w:sz w:val="21"/>
          <w:szCs w:val="21"/>
        </w:rPr>
        <w:t xml:space="preserve">Note méthodologique</w:t>
      </w:r>
    </w:p>
    <w:p>
      <w:pPr>
        <w:spacing w:after="120" w:line="276"/>
        <w:jc w:val="center"/>
      </w:pPr>
      <w:r>
        <w:rPr>
          <w:rFonts w:ascii="Calibri" w:cs="Calibri" w:eastAsia="Calibri" w:hAnsi="Calibri"/>
          <w:color w:val="808080"/>
          <w:sz w:val="21"/>
          <w:szCs w:val="21"/>
        </w:rPr>
        <w:t xml:space="preserve">Version du 1er septembre 2026</w:t>
      </w:r>
    </w:p>
    <w:p>
      <w:r>
        <w:br w:type="page"/>
      </w:r>
    </w:p>
    <w:p>
      <w:pPr>
        <w:pStyle w:val="Heading1"/>
      </w:pPr>
      <w:r>
        <w:t xml:space="preserve">1. Objectif et contraintes</w:t>
      </w:r>
    </w:p>
    <w:p>
      <w:pPr>
        <w:spacing w:after="120" w:line="276"/>
      </w:pPr>
      <w:r>
        <w:rPr>
          <w:rFonts w:ascii="Calibri" w:cs="Calibri" w:eastAsia="Calibri" w:hAnsi="Calibri"/>
          <w:sz w:val="21"/>
          <w:szCs w:val="21"/>
        </w:rPr>
        <w:t xml:space="preserve">Le panel comporte une ligne par individu et par mois. On souhaite en extraire chaque année un échantillon respectant trois contraintes simultanées, dont la conciliation constitue toute la difficulté du plan.</w:t>
      </w:r>
    </w:p>
    <w:p>
      <w:pPr>
        <w:pStyle w:val="ListParagraph"/>
        <w:numPr>
          <w:ilvl w:val="0"/>
          <w:numId w:val="2"/>
        </w:numPr>
        <w:spacing w:after="80" w:line="276"/>
      </w:pPr>
      <w:r>
        <w:rPr>
          <w:rFonts w:ascii="Calibri" w:cs="Calibri" w:eastAsia="Calibri" w:hAnsi="Calibri"/>
          <w:sz w:val="21"/>
          <w:szCs w:val="21"/>
        </w:rPr>
        <w:t xml:space="preserve">Répétition mesurée : un individu tiré est observé deux fois dans l'année, à six mois d'intervalle exactement, afin de permettre une comparaison à horizon semestriel sur la même unité.</w:t>
      </w:r>
    </w:p>
    <w:p>
      <w:pPr>
        <w:pStyle w:val="ListParagraph"/>
        <w:numPr>
          <w:ilvl w:val="0"/>
          <w:numId w:val="2"/>
        </w:numPr>
        <w:spacing w:after="80" w:line="276"/>
      </w:pPr>
      <w:r>
        <w:rPr>
          <w:rFonts w:ascii="Calibri" w:cs="Calibri" w:eastAsia="Calibri" w:hAnsi="Calibri"/>
          <w:sz w:val="21"/>
          <w:szCs w:val="21"/>
        </w:rPr>
        <w:t xml:space="preserve">Charge mensuelle uniforme : chaque mois de l'année doit recevoir approximativement le même nombre d'observations, de manière à lisser la collecte et à éviter toute saisonnalité artificielle.</w:t>
      </w:r>
    </w:p>
    <w:p>
      <w:pPr>
        <w:pStyle w:val="ListParagraph"/>
        <w:numPr>
          <w:ilvl w:val="0"/>
          <w:numId w:val="2"/>
        </w:numPr>
        <w:spacing w:after="80" w:line="276"/>
      </w:pPr>
      <w:r>
        <w:rPr>
          <w:rFonts w:ascii="Calibri" w:cs="Calibri" w:eastAsia="Calibri" w:hAnsi="Calibri"/>
          <w:sz w:val="21"/>
          <w:szCs w:val="21"/>
        </w:rPr>
        <w:t xml:space="preserve">Renouvellement annuel : le tirage est intégralement refait chaque année, sans lien avec les tirages précédents.</w:t>
      </w:r>
    </w:p>
    <w:p>
      <w:pPr>
        <w:spacing w:after="200" w:line="276"/>
      </w:pPr>
      <w:r>
        <w:rPr>
          <w:rFonts w:ascii="Calibri" w:cs="Calibri" w:eastAsia="Calibri" w:hAnsi="Calibri"/>
          <w:sz w:val="21"/>
          <w:szCs w:val="21"/>
        </w:rPr>
        <w:t xml:space="preserve">Une quatrième contrainte s'impose par les données elles-mêmes : tous les individus ne sont pas présents tous les mois. Entrées et sorties de portefeuille créent des profils de présence partiels qui limitent les couples de mois observables.</w:t>
      </w:r>
    </w:p>
    <w:p>
      <w:pPr>
        <w:pStyle w:val="Heading1"/>
      </w:pPr>
      <w:r>
        <w:t xml:space="preserve">2. Principe : six groupes d'ancrage</w:t>
      </w:r>
    </w:p>
    <w:p>
      <w:pPr>
        <w:spacing w:after="120" w:line="276"/>
      </w:pPr>
      <w:r>
        <w:rPr>
          <w:rFonts w:ascii="Calibri" w:cs="Calibri" w:eastAsia="Calibri" w:hAnsi="Calibri"/>
          <w:sz w:val="21"/>
          <w:szCs w:val="21"/>
        </w:rPr>
        <w:t xml:space="preserve">L'échantillon annuel est réparti en six groupes de taille égale, numérotés G1 à G6. Le groupe Gm est ancré sur le mois m : ses membres sont observés en m, puis en m+6. Les ancres ne pouvant aller au-delà de juin, les deux observations tombent nécessairement dans la même année civile, ce qui garantit la règle des deux visites annuelles sans contrôle supplémentaire.</w:t>
      </w:r>
    </w:p>
    <w:p>
      <w:pPr>
        <w:spacing w:after="160" w:line="276"/>
      </w:pPr>
      <w:r>
        <w:rPr>
          <w:rFonts w:ascii="Calibri" w:cs="Calibri" w:eastAsia="Calibri" w:hAnsi="Calibri"/>
          <w:sz w:val="21"/>
          <w:szCs w:val="21"/>
        </w:rPr>
        <w:t xml:space="preserve">Il en découle mécaniquement l'uniformité recherchée : si chaque groupe compte N/6 individus, les mois de janvier à juin reçoivent chacun N/6 premières visites, et les mois de juillet à décembre chacun N/6 secondes visites.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400"/>
        <w:gridCol w:w="2200"/>
        <w:gridCol w:w="2000"/>
        <w:gridCol w:w="2000"/>
        <w:gridCol w:w="1760"/>
      </w:tblGrid>
      <w:tr>
        <w:trPr>
          <w:cantSplit/>
          <w:tblHeader/>
        </w:trPr>
        <w:tc>
          <w:tcPr>
            <w:tcW w:type="dxa" w:w="14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Groupe</w:t>
            </w:r>
          </w:p>
        </w:tc>
        <w:tc>
          <w:tcPr>
            <w:tcW w:type="dxa" w:w="22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Mois d'ancrage</w:t>
            </w:r>
          </w:p>
        </w:tc>
        <w:tc>
          <w:tcPr>
            <w:tcW w:type="dxa" w:w="20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1re visite</w:t>
            </w:r>
          </w:p>
        </w:tc>
        <w:tc>
          <w:tcPr>
            <w:tcW w:type="dxa" w:w="20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2e visite</w:t>
            </w:r>
          </w:p>
        </w:tc>
        <w:tc>
          <w:tcPr>
            <w:tcW w:type="dxa" w:w="176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Effectif</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G1</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Janvier</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Janvier</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Juillet</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G2</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Février</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Février</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Août</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G3</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Mars</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Mars</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Septembre</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G4</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Avril</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Avril</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Octobre</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G5</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Mai</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Mai</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Novembre</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r>
        <w:trPr>
          <w:cantSplit/>
        </w:trPr>
        <w:tc>
          <w:tcPr>
            <w:tcW w:type="dxa" w:w="1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G6</w:t>
            </w:r>
          </w:p>
        </w:tc>
        <w:tc>
          <w:tcPr>
            <w:tcW w:type="dxa" w:w="2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Juin</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Juin</w:t>
            </w:r>
          </w:p>
        </w:tc>
        <w:tc>
          <w:tcPr>
            <w:tcW w:type="dxa" w:w="20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Décembre</w:t>
            </w:r>
          </w:p>
        </w:tc>
        <w:tc>
          <w:tcPr>
            <w:tcW w:type="dxa" w:w="17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N/6</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i/>
          <w:iCs/>
          <w:sz w:val="21"/>
          <w:szCs w:val="21"/>
        </w:rPr>
        <w:t xml:space="preserve">Cette structure a une conséquence qu'il faut assumer : les six premiers mois ne contiennent que des premières visites et les six derniers que des secondes. Un éventuel effet de rang de visite se confond donc avec l'effet semestre. La variable rang_tirage est conservée dans les sorties pour permettre de contrôler ce point lors des analyses.</w:t>
      </w:r>
    </w:p>
    <w:p>
      <w:pPr>
        <w:pStyle w:val="Heading1"/>
      </w:pPr>
      <w:r>
        <w:t xml:space="preserve">3. Éligibilité des individus</w:t>
      </w:r>
    </w:p>
    <w:p>
      <w:pPr>
        <w:spacing w:after="120" w:line="276"/>
      </w:pPr>
      <w:r>
        <w:rPr>
          <w:rFonts w:ascii="Calibri" w:cs="Calibri" w:eastAsia="Calibri" w:hAnsi="Calibri"/>
          <w:sz w:val="21"/>
          <w:szCs w:val="21"/>
        </w:rPr>
        <w:t xml:space="preserve">Une ancre m n'est utilisable pour un individu que si les mois m et m+6 figurent tous deux dans ses données. Chaque couple (individu, année) est donc caractérisé par l'ensemble de ses ancres admissibles, ce qui conduit à distinguer trois populations.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100"/>
        <w:gridCol w:w="3200"/>
        <w:gridCol w:w="4060"/>
      </w:tblGrid>
      <w:tr>
        <w:trPr>
          <w:cantSplit/>
          <w:tblHeader/>
        </w:trPr>
        <w:tc>
          <w:tcPr>
            <w:tcW w:type="dxa" w:w="21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Catégorie</w:t>
            </w:r>
          </w:p>
        </w:tc>
        <w:tc>
          <w:tcPr>
            <w:tcW w:type="dxa" w:w="32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Définition</w:t>
            </w:r>
          </w:p>
        </w:tc>
        <w:tc>
          <w:tcPr>
            <w:tcW w:type="dxa" w:w="406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Traitement</w:t>
            </w:r>
          </w:p>
        </w:tc>
      </w:tr>
      <w:tr>
        <w:trPr>
          <w:cantSplit/>
        </w:trP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Complets</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Présents les douze mois</w:t>
            </w:r>
          </w:p>
        </w:tc>
        <w:tc>
          <w:tcPr>
            <w:tcW w:type="dxa" w:w="40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Six ancres admissibles ; servent de variable d'ajustement</w:t>
            </w:r>
          </w:p>
        </w:tc>
      </w:tr>
      <w:tr>
        <w:trPr>
          <w:cantSplit/>
        </w:trP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Partiels appariables</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Au moins un couple (m, m+6) observable</w:t>
            </w:r>
          </w:p>
        </w:tc>
        <w:tc>
          <w:tcPr>
            <w:tcW w:type="dxa" w:w="40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Deux visites, sur une ancre admissible</w:t>
            </w:r>
          </w:p>
        </w:tc>
      </w:tr>
      <w:tr>
        <w:trPr>
          <w:cantSplit/>
        </w:trPr>
        <w:tc>
          <w:tcPr>
            <w:tcW w:type="dxa" w:w="2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Partiels non appariables</w:t>
            </w:r>
          </w:p>
        </w:tc>
        <w:tc>
          <w:tcPr>
            <w:tcW w:type="dxa" w:w="3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Aucun couple (m, m+6) observable</w:t>
            </w:r>
          </w:p>
        </w:tc>
        <w:tc>
          <w:tcPr>
            <w:tcW w:type="dxa" w:w="40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Une visite unique, dans un mois où l'individu est présent</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Le traitement des individus non appariables constitue un choix de méthode. Les exclure aurait biaisé l'échantillon en faveur des individus stables, les profils de présence courte correspondant typiquement aux entrées et sorties récentes. Ils sont donc conservés avec une observation unique, signalée par la variable n_visites.</w:t>
      </w:r>
    </w:p>
    <w:p>
      <w:pPr>
        <w:pStyle w:val="Heading1"/>
      </w:pPr>
      <w:r>
        <w:t xml:space="preserve">4. Déroulement du tirage</w:t>
      </w:r>
    </w:p>
    <w:p>
      <w:pPr>
        <w:spacing w:after="120" w:line="276"/>
      </w:pPr>
      <w:r>
        <w:rPr>
          <w:rFonts w:ascii="Calibri" w:cs="Calibri" w:eastAsia="Calibri" w:hAnsi="Calibri"/>
          <w:sz w:val="21"/>
          <w:szCs w:val="21"/>
        </w:rPr>
        <w:t xml:space="preserve">Pour chaque année, le plan est construit en quatre étapes. L'ordre dans lequel les populations sont traitées est le mécanisme central : les individus les plus contraints sont placés en premier, les plus libres en dernier, de sorte que ces derniers puissent compenser les déséquilibres accumulés.</w:t>
      </w:r>
    </w:p>
    <w:p>
      <w:pPr>
        <w:spacing w:after="60" w:before="200"/>
      </w:pPr>
      <w:r>
        <w:rPr>
          <w:rFonts w:ascii="Calibri" w:cs="Calibri" w:eastAsia="Calibri" w:hAnsi="Calibri"/>
          <w:b/>
          <w:bCs/>
          <w:color w:val="1F3864"/>
          <w:sz w:val="21"/>
          <w:szCs w:val="21"/>
        </w:rPr>
        <w:t xml:space="preserve">Étape 1 — </w:t>
      </w:r>
      <w:r>
        <w:rPr>
          <w:rFonts w:ascii="Calibri" w:cs="Calibri" w:eastAsia="Calibri" w:hAnsi="Calibri"/>
          <w:b/>
          <w:bCs/>
          <w:sz w:val="21"/>
          <w:szCs w:val="21"/>
        </w:rPr>
        <w:t xml:space="preserve">Tirage aléatoire des individus</w:t>
      </w:r>
    </w:p>
    <w:p>
      <w:pPr>
        <w:spacing w:after="100" w:line="276"/>
      </w:pPr>
      <w:r>
        <w:rPr>
          <w:rFonts w:ascii="Calibri" w:cs="Calibri" w:eastAsia="Calibri" w:hAnsi="Calibri"/>
          <w:sz w:val="21"/>
          <w:szCs w:val="21"/>
        </w:rPr>
        <w:t xml:space="preserve">L'échantillon annuel est tiré uniformément dans la population des individus disposant d'au moins une observation dans l'année, sans distinction de catégorie. La taille est fixée par un effectif cible ou par un taux de sondage.</w:t>
      </w:r>
    </w:p>
    <w:p>
      <w:pPr>
        <w:spacing w:after="60" w:before="200"/>
      </w:pPr>
      <w:r>
        <w:rPr>
          <w:rFonts w:ascii="Calibri" w:cs="Calibri" w:eastAsia="Calibri" w:hAnsi="Calibri"/>
          <w:b/>
          <w:bCs/>
          <w:color w:val="1F3864"/>
          <w:sz w:val="21"/>
          <w:szCs w:val="21"/>
        </w:rPr>
        <w:t xml:space="preserve">Étape 2 — </w:t>
      </w:r>
      <w:r>
        <w:rPr>
          <w:rFonts w:ascii="Calibri" w:cs="Calibri" w:eastAsia="Calibri" w:hAnsi="Calibri"/>
          <w:b/>
          <w:bCs/>
          <w:sz w:val="21"/>
          <w:szCs w:val="21"/>
        </w:rPr>
        <w:t xml:space="preserve">Placement des individus non appariables</w:t>
      </w:r>
    </w:p>
    <w:p>
      <w:pPr>
        <w:spacing w:after="100" w:line="276"/>
      </w:pPr>
      <w:r>
        <w:rPr>
          <w:rFonts w:ascii="Calibri" w:cs="Calibri" w:eastAsia="Calibri" w:hAnsi="Calibri"/>
          <w:sz w:val="21"/>
          <w:szCs w:val="21"/>
        </w:rPr>
        <w:t xml:space="preserve">Chacun reçoit une visite unique, affectée à celui de ses mois de présence dont l'effectif courant est le plus faible. Ces individus alimentent un mois sans alimenter son symétrique à six mois : ils introduisent donc un déséquilibre, mesuré et transmis à l'étape suivante.</w:t>
      </w:r>
    </w:p>
    <w:p>
      <w:pPr>
        <w:spacing w:after="60" w:before="200"/>
      </w:pPr>
      <w:r>
        <w:rPr>
          <w:rFonts w:ascii="Calibri" w:cs="Calibri" w:eastAsia="Calibri" w:hAnsi="Calibri"/>
          <w:b/>
          <w:bCs/>
          <w:color w:val="1F3864"/>
          <w:sz w:val="21"/>
          <w:szCs w:val="21"/>
        </w:rPr>
        <w:t xml:space="preserve">Étape 3 — </w:t>
      </w:r>
      <w:r>
        <w:rPr>
          <w:rFonts w:ascii="Calibri" w:cs="Calibri" w:eastAsia="Calibri" w:hAnsi="Calibri"/>
          <w:b/>
          <w:bCs/>
          <w:sz w:val="21"/>
          <w:szCs w:val="21"/>
        </w:rPr>
        <w:t xml:space="preserve">Affectation des partiels appariables</w:t>
      </w:r>
    </w:p>
    <w:p>
      <w:pPr>
        <w:spacing w:after="100" w:line="276"/>
      </w:pPr>
      <w:r>
        <w:rPr>
          <w:rFonts w:ascii="Calibri" w:cs="Calibri" w:eastAsia="Calibri" w:hAnsi="Calibri"/>
          <w:sz w:val="21"/>
          <w:szCs w:val="21"/>
        </w:rPr>
        <w:t xml:space="preserve">Chaque ancre se voit attribuer un handicap initial égal à la charge moyenne de ses deux mois, telle qu'issue de l'étape 2. Les individus sont ensuite affectés aux ancres les moins garnies, en traitant d'abord ceux qui disposent du moins d'ancres admissibles.</w:t>
      </w:r>
    </w:p>
    <w:p>
      <w:pPr>
        <w:spacing w:after="60" w:before="200"/>
      </w:pPr>
      <w:r>
        <w:rPr>
          <w:rFonts w:ascii="Calibri" w:cs="Calibri" w:eastAsia="Calibri" w:hAnsi="Calibri"/>
          <w:b/>
          <w:bCs/>
          <w:color w:val="1F3864"/>
          <w:sz w:val="21"/>
          <w:szCs w:val="21"/>
        </w:rPr>
        <w:t xml:space="preserve">Étape 4 — </w:t>
      </w:r>
      <w:r>
        <w:rPr>
          <w:rFonts w:ascii="Calibri" w:cs="Calibri" w:eastAsia="Calibri" w:hAnsi="Calibri"/>
          <w:b/>
          <w:bCs/>
          <w:sz w:val="21"/>
          <w:szCs w:val="21"/>
        </w:rPr>
        <w:t xml:space="preserve">Affectation des individus complets</w:t>
      </w:r>
    </w:p>
    <w:p>
      <w:pPr>
        <w:spacing w:after="100" w:line="276"/>
      </w:pPr>
      <w:r>
        <w:rPr>
          <w:rFonts w:ascii="Calibri" w:cs="Calibri" w:eastAsia="Calibri" w:hAnsi="Calibri"/>
          <w:sz w:val="21"/>
          <w:szCs w:val="21"/>
        </w:rPr>
        <w:t xml:space="preserve">Disposant des six ancres, ils sont placés en dernier sur les ancres demeurées les plus creuses. L'affectation individuelle reste tirée au sort — le rang des individus est permuté aléatoirement — mais les effectifs par ancre sont pilotés de façon à égaliser les douze mois.</w:t>
      </w:r>
    </w:p>
    <w:p>
      <w:pPr>
        <w:spacing w:after="200" w:line="276"/>
      </w:pPr>
      <w:r>
        <w:rPr>
          <w:rFonts w:ascii="Calibri" w:cs="Calibri" w:eastAsia="Calibri" w:hAnsi="Calibri"/>
          <w:i/>
          <w:iCs/>
          <w:sz w:val="21"/>
          <w:szCs w:val="21"/>
        </w:rPr>
        <w:t xml:space="preserve">Deux individus partageant le même ensemble d'ancres admissibles étant interchangeables, l'affectation raisonne par classe d'éligibilité plutôt qu'individu par individu. Le nombre de classes étant borné par 2⁶, le plan se calcule en quelques secondes sur plusieurs millions de lignes.</w:t>
      </w:r>
    </w:p>
    <w:p>
      <w:r>
        <w:br w:type="page"/>
      </w:r>
    </w:p>
    <w:p>
      <w:pPr>
        <w:pStyle w:val="Heading1"/>
      </w:pPr>
      <w:r>
        <w:t xml:space="preserve">5. Contrôle des résultats</w:t>
      </w:r>
    </w:p>
    <w:p>
      <w:pPr>
        <w:spacing w:after="120" w:line="276"/>
      </w:pPr>
      <w:r>
        <w:rPr>
          <w:rFonts w:ascii="Calibri" w:cs="Calibri" w:eastAsia="Calibri" w:hAnsi="Calibri"/>
          <w:sz w:val="21"/>
          <w:szCs w:val="21"/>
        </w:rPr>
        <w:t xml:space="preserve">Le plan a été éprouvé sur un panel simulé de 6 000 individus suivis sur trois années, comportant 60 % d'individus complets, 30 % de profils partiels et 10 % de profils très courts — soit environ 12 % d'individus non appariables. Le taux de sondage retenu est de 50 %.</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1100"/>
        <w:gridCol w:w="1500"/>
        <w:gridCol w:w="1300"/>
        <w:gridCol w:w="1900"/>
        <w:gridCol w:w="1200"/>
        <w:gridCol w:w="1200"/>
        <w:gridCol w:w="1160"/>
      </w:tblGrid>
      <w:tr>
        <w:trPr>
          <w:cantSplit/>
          <w:tblHeader/>
        </w:trPr>
        <w:tc>
          <w:tcPr>
            <w:tcW w:type="dxa" w:w="11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Année</w:t>
            </w:r>
          </w:p>
        </w:tc>
        <w:tc>
          <w:tcPr>
            <w:tcW w:type="dxa" w:w="15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Individus</w:t>
            </w:r>
          </w:p>
        </w:tc>
        <w:tc>
          <w:tcPr>
            <w:tcW w:type="dxa" w:w="13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Visites</w:t>
            </w:r>
          </w:p>
        </w:tc>
        <w:tc>
          <w:tcPr>
            <w:tcW w:type="dxa" w:w="19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Part à 2 visites</w:t>
            </w:r>
          </w:p>
        </w:tc>
        <w:tc>
          <w:tcPr>
            <w:tcW w:type="dxa" w:w="12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Mois min</w:t>
            </w:r>
          </w:p>
        </w:tc>
        <w:tc>
          <w:tcPr>
            <w:tcW w:type="dxa" w:w="12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Mois max</w:t>
            </w:r>
          </w:p>
        </w:tc>
        <w:tc>
          <w:tcPr>
            <w:tcW w:type="dxa" w:w="116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Écart relatif</w:t>
            </w:r>
          </w:p>
        </w:tc>
      </w:tr>
      <w:tr>
        <w:trPr>
          <w:cantSplit/>
        </w:trPr>
        <w:tc>
          <w:tcPr>
            <w:tcW w:type="dxa" w:w="1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2021</w:t>
            </w:r>
          </w:p>
        </w:tc>
        <w:tc>
          <w:tcPr>
            <w:tcW w:type="dxa" w:w="1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3 000</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5 650</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88,3 %</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470</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472</w:t>
            </w:r>
          </w:p>
        </w:tc>
        <w:tc>
          <w:tcPr>
            <w:tcW w:type="dxa" w:w="11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0,4 %</w:t>
            </w:r>
          </w:p>
        </w:tc>
      </w:tr>
      <w:tr>
        <w:trPr>
          <w:cantSplit/>
        </w:trPr>
        <w:tc>
          <w:tcPr>
            <w:tcW w:type="dxa" w:w="1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2022</w:t>
            </w:r>
          </w:p>
        </w:tc>
        <w:tc>
          <w:tcPr>
            <w:tcW w:type="dxa" w:w="1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3 000</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5 627</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87,6 %</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468</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470</w:t>
            </w:r>
          </w:p>
        </w:tc>
        <w:tc>
          <w:tcPr>
            <w:tcW w:type="dxa" w:w="11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0,4 %</w:t>
            </w:r>
          </w:p>
        </w:tc>
      </w:tr>
      <w:tr>
        <w:trPr>
          <w:cantSplit/>
        </w:trPr>
        <w:tc>
          <w:tcPr>
            <w:tcW w:type="dxa" w:w="11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2023</w:t>
            </w:r>
          </w:p>
        </w:tc>
        <w:tc>
          <w:tcPr>
            <w:tcW w:type="dxa" w:w="15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3 000</w:t>
            </w:r>
          </w:p>
        </w:tc>
        <w:tc>
          <w:tcPr>
            <w:tcW w:type="dxa" w:w="13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5 638</w:t>
            </w:r>
          </w:p>
        </w:tc>
        <w:tc>
          <w:tcPr>
            <w:tcW w:type="dxa" w:w="19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87,9 %</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469</w:t>
            </w:r>
          </w:p>
        </w:tc>
        <w:tc>
          <w:tcPr>
            <w:tcW w:type="dxa" w:w="120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471</w:t>
            </w:r>
          </w:p>
        </w:tc>
        <w:tc>
          <w:tcPr>
            <w:tcW w:type="dxa" w:w="11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0,4 %</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L'écart relatif entre le mois le moins chargé et le mois le plus chargé s'établit à 0,4 %, malgré la présence d'individus à visite unique. Les six groupes comptent entre 437 et 442 individus. Aucune anomalie n'est relevée : aucun individu ne dépasse deux observations dans l'année, et tous les couples d'observations sont espacés de six mois exactement.</w:t>
      </w:r>
    </w:p>
    <w:p>
      <w:pPr>
        <w:spacing w:after="120" w:line="276"/>
      </w:pPr>
      <w:r>
        <w:rPr>
          <w:rFonts w:ascii="Calibri" w:cs="Calibri" w:eastAsia="Calibri" w:hAnsi="Calibri"/>
          <w:i/>
          <w:iCs/>
          <w:sz w:val="21"/>
          <w:szCs w:val="21"/>
        </w:rPr>
        <w:t xml:space="preserve">Une égalité parfaite des douze mois est hors d'atteinte dès lors que des individus ne sont observés qu'une fois : une paire alimente deux mois symétriques, une visite unique un seul. L'algorithme minimise l'écart sans pouvoir l'annuler.</w:t>
      </w:r>
    </w:p>
    <w:p>
      <w:pPr>
        <w:pStyle w:val="Heading1"/>
      </w:pPr>
      <w:r>
        <w:t xml:space="preserve">6. Variables produites</w:t>
      </w:r>
    </w:p>
    <w:tbl>
      <w:tblPr>
        <w:tblW w:type="dxa" w:w="936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960"/>
      </w:tblGrid>
      <w:tr>
        <w:trPr>
          <w:cantSplit/>
          <w:tblHeader/>
        </w:trPr>
        <w:tc>
          <w:tcPr>
            <w:tcW w:type="dxa" w:w="240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Variable</w:t>
            </w:r>
          </w:p>
        </w:tc>
        <w:tc>
          <w:tcPr>
            <w:tcW w:type="dxa" w:w="6960"/>
            <w:shd w:fill="F2F2F2" w:val="clear"/>
            <w:tcMar>
              <w:top w:type="dxa" w:w="60"/>
              <w:left w:type="dxa" w:w="100"/>
              <w:bottom w:type="dxa" w:w="60"/>
              <w:right w:type="dxa" w:w="100"/>
            </w:tcMar>
          </w:tcPr>
          <w:p>
            <w:pPr>
              <w:spacing w:after="0"/>
              <w:jc w:val="center"/>
            </w:pPr>
            <w:r>
              <w:rPr>
                <w:rFonts w:ascii="Calibri" w:cs="Calibri" w:eastAsia="Calibri" w:hAnsi="Calibri"/>
                <w:b/>
                <w:bCs/>
                <w:sz w:val="19"/>
                <w:szCs w:val="19"/>
              </w:rPr>
              <w:t xml:space="preserve">Contenu</w:t>
            </w:r>
          </w:p>
        </w:tc>
      </w:tr>
      <w:tr>
        <w:trPr>
          <w:cantSplit/>
        </w:trPr>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mois_ancrage</w:t>
            </w:r>
          </w:p>
        </w:tc>
        <w:tc>
          <w:tcPr>
            <w:tcW w:type="dxa" w:w="69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Mois d'ancrage retenu (1 à 6) ; 0 pour une visite unique</w:t>
            </w:r>
          </w:p>
        </w:tc>
      </w:tr>
      <w:tr>
        <w:trPr>
          <w:cantSplit/>
        </w:trPr>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groupe</w:t>
            </w:r>
          </w:p>
        </w:tc>
        <w:tc>
          <w:tcPr>
            <w:tcW w:type="dxa" w:w="69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Groupe d'appartenance, G1 à G6, ou « visite_unique »</w:t>
            </w:r>
          </w:p>
        </w:tc>
      </w:tr>
      <w:tr>
        <w:trPr>
          <w:cantSplit/>
        </w:trPr>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rang_tirage</w:t>
            </w:r>
          </w:p>
        </w:tc>
        <w:tc>
          <w:tcPr>
            <w:tcW w:type="dxa" w:w="69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1 pour la première visite, 2 pour la seconde</w:t>
            </w:r>
          </w:p>
        </w:tc>
      </w:tr>
      <w:tr>
        <w:trPr>
          <w:cantSplit/>
        </w:trPr>
        <w:tc>
          <w:tcPr>
            <w:tcW w:type="dxa" w:w="2400"/>
            <w:tcMar>
              <w:top w:type="dxa" w:w="60"/>
              <w:left w:type="dxa" w:w="100"/>
              <w:bottom w:type="dxa" w:w="60"/>
              <w:right w:type="dxa" w:w="100"/>
            </w:tcMar>
          </w:tcPr>
          <w:p>
            <w:pPr>
              <w:spacing w:after="0"/>
              <w:jc w:val="left"/>
            </w:pPr>
            <w:r>
              <w:rPr>
                <w:rFonts w:ascii="Calibri" w:cs="Calibri" w:eastAsia="Calibri" w:hAnsi="Calibri"/>
                <w:b w:val="false"/>
                <w:bCs w:val="false"/>
                <w:sz w:val="19"/>
                <w:szCs w:val="19"/>
              </w:rPr>
              <w:t xml:space="preserve">n_visites</w:t>
            </w:r>
          </w:p>
        </w:tc>
        <w:tc>
          <w:tcPr>
            <w:tcW w:type="dxa" w:w="6960"/>
            <w:tcMar>
              <w:top w:type="dxa" w:w="60"/>
              <w:left w:type="dxa" w:w="100"/>
              <w:bottom w:type="dxa" w:w="60"/>
              <w:right w:type="dxa" w:w="100"/>
            </w:tcMar>
          </w:tcPr>
          <w:p>
            <w:pPr>
              <w:spacing w:after="0"/>
              <w:jc w:val="center"/>
            </w:pPr>
            <w:r>
              <w:rPr>
                <w:rFonts w:ascii="Calibri" w:cs="Calibri" w:eastAsia="Calibri" w:hAnsi="Calibri"/>
                <w:b w:val="false"/>
                <w:bCs w:val="false"/>
                <w:sz w:val="19"/>
                <w:szCs w:val="19"/>
              </w:rPr>
              <w:t xml:space="preserve">2 si l'individu est apparié dans l'année, 1 sinon</w:t>
            </w:r>
          </w:p>
        </w:tc>
      </w:tr>
    </w:tbl>
    <w:p>
      <w:pPr>
        <w:spacing w:after="60" w:line="276"/>
      </w:pPr>
      <w:r>
        <w:rPr>
          <w:rFonts w:ascii="Calibri" w:cs="Calibri" w:eastAsia="Calibri" w:hAnsi="Calibri"/>
          <w:sz w:val="21"/>
          <w:szCs w:val="21"/>
        </w:rPr>
        <w:t xml:space="preserve"/>
      </w:r>
    </w:p>
    <w:p>
      <w:pPr>
        <w:spacing w:after="120" w:line="276"/>
      </w:pPr>
      <w:r>
        <w:rPr>
          <w:rFonts w:ascii="Calibri" w:cs="Calibri" w:eastAsia="Calibri" w:hAnsi="Calibri"/>
          <w:sz w:val="21"/>
          <w:szCs w:val="21"/>
        </w:rPr>
        <w:t xml:space="preserve">Le tirage est reproductible à graine fixée et insensible à l'ordre des lignes en entrée. Un diagnostic préalable permet de quantifier, avant tout tirage, la part d'individus non appariables et le nombre moyen d'ancres admissibles — deux indicateurs qui conditionnent la qualité de l'équilibrage mensuel.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1F3864"/>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sondage annuel du panel mensuel</dc:title>
  <dc:creator>Charlin</dc:creator>
  <cp:lastModifiedBy>Un-named</cp:lastModifiedBy>
  <cp:revision>1</cp:revision>
  <dcterms:created xsi:type="dcterms:W3CDTF">2026-09-01T07:54:38.873Z</dcterms:created>
  <dcterms:modified xsi:type="dcterms:W3CDTF">2026-09-01T07:54:38.873Z</dcterms:modified>
</cp:coreProperties>
</file>

<file path=docProps/custom.xml><?xml version="1.0" encoding="utf-8"?>
<Properties xmlns="http://schemas.openxmlformats.org/officeDocument/2006/custom-properties" xmlns:vt="http://schemas.openxmlformats.org/officeDocument/2006/docPropsVTypes"/>
</file>