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EA" w:rsidRPr="00C055EA" w:rsidRDefault="00C055EA" w:rsidP="00C05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Feste Bestandteile eines Abstracts sind: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ein aussagekräftiger Titel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das gewählte Themengebiet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die Zielsetzung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die Theorie der Autoren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die zentrale Fragestellung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das Fazit der Arbeit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ggf. die Angabe von Quellen</w:t>
      </w:r>
    </w:p>
    <w:p w:rsidR="00C055EA" w:rsidRPr="00C055EA" w:rsidRDefault="00C055EA" w:rsidP="00C05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55EA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Angabe der Autorenschaft</w:t>
      </w:r>
    </w:p>
    <w:p w:rsidR="00C055EA" w:rsidRPr="009747E1" w:rsidRDefault="00C055EA" w:rsidP="000504CC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Hlk491876593"/>
      <w:r w:rsidRPr="009747E1">
        <w:rPr>
          <w:rFonts w:ascii="Times New Roman" w:hAnsi="Times New Roman" w:cs="Times New Roman"/>
          <w:b/>
          <w:sz w:val="32"/>
          <w:szCs w:val="32"/>
          <w:lang w:val="en-US"/>
        </w:rPr>
        <w:t>Sophie Geraldine Horáček │</w:t>
      </w:r>
      <w:r w:rsidR="00140CD3" w:rsidRPr="009747E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 sanctuary of a female goddess excavated by Max Ohnefalsch-Richter (1850-1917) on the eastern acropolis in Idalion (Cyprus)</w:t>
      </w:r>
    </w:p>
    <w:p w:rsidR="0068167E" w:rsidRPr="009747E1" w:rsidRDefault="00B31EE9" w:rsidP="00350DDF">
      <w:pPr>
        <w:spacing w:line="240" w:lineRule="auto"/>
        <w:jc w:val="both"/>
        <w:rPr>
          <w:lang w:val="en-US"/>
        </w:rPr>
      </w:pPr>
      <w:bookmarkStart w:id="1" w:name="_Hlk491895573"/>
      <w:r>
        <w:rPr>
          <w:rFonts w:ascii="Times New Roman" w:hAnsi="Times New Roman" w:cs="Times New Roman"/>
          <w:sz w:val="32"/>
          <w:szCs w:val="32"/>
          <w:lang w:val="en-US"/>
        </w:rPr>
        <w:t>This Work focuses</w:t>
      </w:r>
      <w:r w:rsidR="00947A4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on </w:t>
      </w:r>
      <w:r w:rsidR="00140CD3" w:rsidRPr="009747E1">
        <w:rPr>
          <w:rFonts w:ascii="Times New Roman" w:hAnsi="Times New Roman" w:cs="Times New Roman"/>
          <w:sz w:val="32"/>
          <w:szCs w:val="32"/>
          <w:lang w:val="en-US"/>
        </w:rPr>
        <w:t>ancient material objects</w:t>
      </w:r>
      <w:r w:rsidR="0068167E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and a manuskript with detailed </w:t>
      </w:r>
      <w:r w:rsidR="00397C85" w:rsidRPr="009747E1">
        <w:rPr>
          <w:rFonts w:ascii="Times New Roman" w:hAnsi="Times New Roman" w:cs="Times New Roman"/>
          <w:sz w:val="32"/>
          <w:szCs w:val="32"/>
          <w:lang w:val="en-US"/>
        </w:rPr>
        <w:t>documen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397C85" w:rsidRPr="009747E1">
        <w:rPr>
          <w:rFonts w:ascii="Times New Roman" w:hAnsi="Times New Roman" w:cs="Times New Roman"/>
          <w:sz w:val="32"/>
          <w:szCs w:val="32"/>
          <w:lang w:val="en-US"/>
        </w:rPr>
        <w:t>ations</w:t>
      </w:r>
      <w:r w:rsidR="00EE7A41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E56A2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plans and photographies </w:t>
      </w:r>
      <w:r w:rsidR="0068167E" w:rsidRPr="009747E1">
        <w:rPr>
          <w:rFonts w:ascii="Times New Roman" w:hAnsi="Times New Roman" w:cs="Times New Roman"/>
          <w:sz w:val="32"/>
          <w:szCs w:val="32"/>
          <w:lang w:val="en-US"/>
        </w:rPr>
        <w:t>of the excavation of a sanctuary i</w:t>
      </w:r>
      <w:r w:rsidR="00140CD3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>Idalion (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>Cyprus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40CD3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which was </w:t>
      </w:r>
      <w:r w:rsidR="0068167E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investigated </w:t>
      </w:r>
      <w:r w:rsidR="00140CD3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in the 19th </w:t>
      </w:r>
      <w:r w:rsidR="00947A4F" w:rsidRPr="009747E1">
        <w:rPr>
          <w:rFonts w:ascii="Times New Roman" w:hAnsi="Times New Roman" w:cs="Times New Roman"/>
          <w:sz w:val="32"/>
          <w:szCs w:val="32"/>
          <w:lang w:val="en-US"/>
        </w:rPr>
        <w:t>CE</w:t>
      </w:r>
      <w:r w:rsidR="0068167E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. (1883/1894-95) </w:t>
      </w:r>
      <w:r w:rsidR="00140CD3" w:rsidRPr="009747E1">
        <w:rPr>
          <w:rFonts w:ascii="Times New Roman" w:hAnsi="Times New Roman" w:cs="Times New Roman"/>
          <w:sz w:val="32"/>
          <w:szCs w:val="32"/>
          <w:lang w:val="en-US"/>
        </w:rPr>
        <w:t>by Max Ohnefalsch-Richter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953552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His work on the subject</w:t>
      </w:r>
      <w:r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  <w:r w:rsidR="00947A4F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has never been </w:t>
      </w:r>
      <w:r w:rsidR="00325585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systematically </w:t>
      </w:r>
      <w:r w:rsidR="00947A4F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processed or published.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The</w:t>
      </w:r>
      <w:r w:rsidR="000504CC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finds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are widespread in</w:t>
      </w:r>
      <w:r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different museum's collections</w:t>
      </w:r>
      <w:r w:rsidR="000504CC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(e.g. Berlin, Nicosia, London)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.</w:t>
      </w:r>
      <w:r w:rsidR="000504CC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  <w:r w:rsidR="009C7564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Therefore i</w:t>
      </w:r>
      <w:r w:rsidR="000504CC" w:rsidRPr="009747E1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t is important to reassign, analyse and catalogue the metal, terracotta and stone objects of the intra-urban sanctuary. </w:t>
      </w:r>
      <w:bookmarkEnd w:id="1"/>
      <w:r>
        <w:rPr>
          <w:rFonts w:ascii="Times New Roman" w:hAnsi="Times New Roman" w:cs="Times New Roman"/>
          <w:sz w:val="32"/>
          <w:szCs w:val="32"/>
          <w:lang w:val="en-US"/>
        </w:rPr>
        <w:t>During</w:t>
      </w:r>
      <w:r w:rsidR="00947A4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the AIAC 2018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there</w:t>
      </w:r>
      <w:r w:rsidR="00947A4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will be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 presentation on</w:t>
      </w:r>
      <w:r w:rsidR="00947A4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397C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first conclusions about </w:t>
      </w:r>
      <w:r w:rsidRPr="009747E1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he</w:t>
      </w:r>
      <w:r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D508F" w:rsidRPr="009747E1">
        <w:rPr>
          <w:rFonts w:ascii="Times New Roman" w:hAnsi="Times New Roman" w:cs="Times New Roman"/>
          <w:sz w:val="32"/>
          <w:szCs w:val="32"/>
          <w:lang w:val="en-US"/>
        </w:rPr>
        <w:t>cult place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5D508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which 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developed in </w:t>
      </w:r>
      <w:r w:rsidR="004C2470" w:rsidRPr="009747E1">
        <w:rPr>
          <w:rFonts w:ascii="Times New Roman" w:hAnsi="Times New Roman" w:cs="Times New Roman"/>
          <w:sz w:val="32"/>
          <w:szCs w:val="32"/>
          <w:lang w:val="en-US"/>
        </w:rPr>
        <w:t>cypro-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archaic times and </w:t>
      </w:r>
      <w:r w:rsidR="00397C85" w:rsidRPr="009747E1">
        <w:rPr>
          <w:rFonts w:ascii="Times New Roman" w:hAnsi="Times New Roman" w:cs="Times New Roman"/>
          <w:sz w:val="32"/>
          <w:szCs w:val="32"/>
          <w:lang w:val="en-US"/>
        </w:rPr>
        <w:t>was situated</w:t>
      </w:r>
      <w:r w:rsidR="005D508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on the eastern Acropolis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of</w:t>
      </w:r>
      <w:r w:rsidR="00397C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one of the Cypriot city-kingdoms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>. The city</w:t>
      </w:r>
      <w:r w:rsidR="004C2470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was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located 18 km southeast of Nicosia. It 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had arable flatland 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and access to a </w:t>
      </w:r>
      <w:r w:rsidR="004C2470" w:rsidRPr="009747E1">
        <w:rPr>
          <w:rFonts w:ascii="Times New Roman" w:hAnsi="Times New Roman" w:cs="Times New Roman"/>
          <w:sz w:val="32"/>
          <w:szCs w:val="32"/>
          <w:lang w:val="en-US"/>
        </w:rPr>
        <w:t>flowing river (Yialias)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4C2470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which led to a fertile ground. Idalion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controlled parts of the copper ore repository 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>of the Troodos mountain</w:t>
      </w:r>
      <w:r w:rsidR="004D1064" w:rsidRPr="009747E1">
        <w:rPr>
          <w:rFonts w:ascii="Times New Roman" w:hAnsi="Times New Roman" w:cs="Times New Roman"/>
          <w:sz w:val="32"/>
          <w:szCs w:val="32"/>
          <w:lang w:val="en-US"/>
        </w:rPr>
        <w:t>. The mining area</w:t>
      </w:r>
      <w:r w:rsidR="00E65448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and it’s industry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was an important 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economical </w:t>
      </w:r>
      <w:r w:rsidR="00C83F4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source of income 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for the greater part 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>of the</w:t>
      </w:r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existence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of the city</w:t>
      </w:r>
      <w:bookmarkStart w:id="2" w:name="_Hlk491895998"/>
      <w:r w:rsidR="00E7732F" w:rsidRPr="009747E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C2470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I would therefore ask the question 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>if t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his 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is 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reflected by 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the objects of 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5D508F" w:rsidRPr="009747E1">
        <w:rPr>
          <w:rFonts w:ascii="Times New Roman" w:hAnsi="Times New Roman" w:cs="Times New Roman"/>
          <w:sz w:val="32"/>
          <w:szCs w:val="32"/>
          <w:lang w:val="en-US"/>
        </w:rPr>
        <w:t>ritual site</w:t>
      </w:r>
      <w:r w:rsidR="00003E09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of the female goddes</w:t>
      </w:r>
      <w:r w:rsidR="007323A7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325585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2"/>
      <w:r w:rsidR="00EE7A41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The main </w:t>
      </w:r>
      <w:r w:rsidR="007323A7">
        <w:rPr>
          <w:rFonts w:ascii="Times New Roman" w:hAnsi="Times New Roman" w:cs="Times New Roman"/>
          <w:sz w:val="32"/>
          <w:szCs w:val="32"/>
          <w:lang w:val="en-US"/>
        </w:rPr>
        <w:t>goal</w:t>
      </w:r>
      <w:r w:rsidR="007323A7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E7A41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is to gain insight into </w:t>
      </w:r>
      <w:r w:rsidR="001C1DDB" w:rsidRPr="009747E1">
        <w:rPr>
          <w:rFonts w:ascii="Times New Roman" w:hAnsi="Times New Roman" w:cs="Times New Roman"/>
          <w:sz w:val="32"/>
          <w:szCs w:val="32"/>
          <w:lang w:val="en-US"/>
        </w:rPr>
        <w:t>the cult practice,</w:t>
      </w:r>
      <w:r w:rsidR="00EE7A41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50EB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period of </w:t>
      </w:r>
      <w:r w:rsidR="00EE7A41" w:rsidRPr="009747E1">
        <w:rPr>
          <w:rFonts w:ascii="Times New Roman" w:hAnsi="Times New Roman" w:cs="Times New Roman"/>
          <w:sz w:val="32"/>
          <w:szCs w:val="32"/>
          <w:lang w:val="en-US"/>
        </w:rPr>
        <w:t>use</w:t>
      </w:r>
      <w:r w:rsidR="008850EB" w:rsidRPr="009747E1">
        <w:rPr>
          <w:rFonts w:ascii="Times New Roman" w:hAnsi="Times New Roman" w:cs="Times New Roman"/>
          <w:sz w:val="32"/>
          <w:szCs w:val="32"/>
          <w:lang w:val="en-US"/>
        </w:rPr>
        <w:t>(occupation)</w:t>
      </w:r>
      <w:r w:rsidR="00EE7A41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, function, </w:t>
      </w:r>
      <w:r w:rsidR="003B7C5F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continuity and </w:t>
      </w:r>
      <w:r w:rsidR="001C1DDB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political and economical relevance of the sanctuary. </w:t>
      </w:r>
      <w:r w:rsidR="00006708" w:rsidRPr="009747E1">
        <w:rPr>
          <w:rFonts w:ascii="Times New Roman" w:hAnsi="Times New Roman" w:cs="Times New Roman"/>
          <w:sz w:val="32"/>
          <w:szCs w:val="32"/>
          <w:lang w:val="en-US"/>
        </w:rPr>
        <w:t>In addition, v</w:t>
      </w:r>
      <w:r w:rsidR="00953552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otive offerings </w:t>
      </w:r>
      <w:r w:rsidR="00006708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can </w:t>
      </w:r>
      <w:r w:rsidR="00953552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reflect the adoption, adaptation and transformation of the cultural influences of the Phoenicians, mainland Greeks and autochthonous peoples of Cyprus and can give us a hint of the </w:t>
      </w:r>
      <w:r w:rsidR="005312AF" w:rsidRPr="009747E1">
        <w:rPr>
          <w:rFonts w:ascii="Times New Roman" w:hAnsi="Times New Roman" w:cs="Times New Roman"/>
          <w:sz w:val="32"/>
          <w:szCs w:val="32"/>
          <w:lang w:val="en-US"/>
        </w:rPr>
        <w:t>trans-regional trade</w:t>
      </w:r>
      <w:r w:rsidR="001C1DDB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53552" w:rsidRPr="009747E1">
        <w:rPr>
          <w:rFonts w:ascii="Times New Roman" w:hAnsi="Times New Roman" w:cs="Times New Roman"/>
          <w:sz w:val="32"/>
          <w:szCs w:val="32"/>
          <w:lang w:val="en-US"/>
        </w:rPr>
        <w:t>(Egypt, Levantin</w:t>
      </w:r>
      <w:r w:rsidR="00D746B6" w:rsidRPr="009747E1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953552" w:rsidRPr="009747E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C1DDB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In this context, the manuskript contains finds lists of votive offerings, bronze objects, coins, clay- and alabaster vessels, terracotta figurines and votive steles.</w:t>
      </w:r>
      <w:r w:rsidR="00D746B6" w:rsidRPr="009747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3" w:name="_GoBack"/>
      <w:bookmarkEnd w:id="0"/>
      <w:bookmarkEnd w:id="3"/>
    </w:p>
    <w:sectPr w:rsidR="0068167E" w:rsidRPr="009747E1" w:rsidSect="00830B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7B0" w:rsidRDefault="002227B0" w:rsidP="00C055EA">
      <w:pPr>
        <w:spacing w:after="0" w:line="240" w:lineRule="auto"/>
      </w:pPr>
      <w:r>
        <w:separator/>
      </w:r>
    </w:p>
  </w:endnote>
  <w:endnote w:type="continuationSeparator" w:id="0">
    <w:p w:rsidR="002227B0" w:rsidRDefault="002227B0" w:rsidP="00C0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7B0" w:rsidRDefault="002227B0" w:rsidP="00C055EA">
      <w:pPr>
        <w:spacing w:after="0" w:line="240" w:lineRule="auto"/>
      </w:pPr>
      <w:r>
        <w:separator/>
      </w:r>
    </w:p>
  </w:footnote>
  <w:footnote w:type="continuationSeparator" w:id="0">
    <w:p w:rsidR="002227B0" w:rsidRDefault="002227B0" w:rsidP="00C0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716"/>
    <w:multiLevelType w:val="multilevel"/>
    <w:tmpl w:val="C52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37A"/>
    <w:rsid w:val="00003E09"/>
    <w:rsid w:val="00006708"/>
    <w:rsid w:val="000504CC"/>
    <w:rsid w:val="00054669"/>
    <w:rsid w:val="00140CD3"/>
    <w:rsid w:val="001C1DDB"/>
    <w:rsid w:val="002227B0"/>
    <w:rsid w:val="00325585"/>
    <w:rsid w:val="00350DDF"/>
    <w:rsid w:val="00397C85"/>
    <w:rsid w:val="003B7C5F"/>
    <w:rsid w:val="00492903"/>
    <w:rsid w:val="004C2470"/>
    <w:rsid w:val="004D1064"/>
    <w:rsid w:val="004E237A"/>
    <w:rsid w:val="005312AF"/>
    <w:rsid w:val="005771EE"/>
    <w:rsid w:val="005D508F"/>
    <w:rsid w:val="0068167E"/>
    <w:rsid w:val="007323A7"/>
    <w:rsid w:val="0079443A"/>
    <w:rsid w:val="00795CDA"/>
    <w:rsid w:val="00830B5C"/>
    <w:rsid w:val="008850EB"/>
    <w:rsid w:val="00947A4F"/>
    <w:rsid w:val="00953552"/>
    <w:rsid w:val="009747E1"/>
    <w:rsid w:val="009C7564"/>
    <w:rsid w:val="00AF3A5F"/>
    <w:rsid w:val="00AF75FA"/>
    <w:rsid w:val="00B019B4"/>
    <w:rsid w:val="00B31EE9"/>
    <w:rsid w:val="00B85065"/>
    <w:rsid w:val="00BE56A2"/>
    <w:rsid w:val="00C055EA"/>
    <w:rsid w:val="00C83F45"/>
    <w:rsid w:val="00D304BF"/>
    <w:rsid w:val="00D746B6"/>
    <w:rsid w:val="00DE29F8"/>
    <w:rsid w:val="00E65448"/>
    <w:rsid w:val="00E7732F"/>
    <w:rsid w:val="00E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B935"/>
  <w15:docId w15:val="{F5B38277-1E68-4CC9-8974-CABD4233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B5C"/>
  </w:style>
  <w:style w:type="paragraph" w:styleId="berschrift1">
    <w:name w:val="heading 1"/>
    <w:basedOn w:val="Standard"/>
    <w:next w:val="Standard"/>
    <w:link w:val="berschrift1Zchn"/>
    <w:uiPriority w:val="9"/>
    <w:qFormat/>
    <w:rsid w:val="00C05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5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55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5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5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5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5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5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55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055E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55E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55EA"/>
    <w:rPr>
      <w:vertAlign w:val="superscript"/>
    </w:rPr>
  </w:style>
  <w:style w:type="paragraph" w:customStyle="1" w:styleId="CitaviBibliographyEntry">
    <w:name w:val="Citavi Bibliography Entry"/>
    <w:basedOn w:val="Standard"/>
    <w:link w:val="CitaviBibliographyEntryZchn"/>
    <w:rsid w:val="00C055EA"/>
    <w:pPr>
      <w:tabs>
        <w:tab w:val="left" w:pos="227"/>
      </w:tabs>
      <w:spacing w:after="120"/>
      <w:ind w:left="227" w:hanging="22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C055EA"/>
  </w:style>
  <w:style w:type="paragraph" w:customStyle="1" w:styleId="CitaviBibliographyHeading">
    <w:name w:val="Citavi Bibliography Heading"/>
    <w:basedOn w:val="berschrift1"/>
    <w:link w:val="CitaviBibliographyHeadingZchn"/>
    <w:rsid w:val="00C055EA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C05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5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C055EA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C05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5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C055EA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C055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55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C055EA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C05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5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C055EA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C05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55E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C055EA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C05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55E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C055EA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C05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5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C055EA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C05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5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C055EA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C05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5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47E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47E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47E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47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47E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4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Horacek</dc:creator>
  <cp:lastModifiedBy>Sophie Horacek</cp:lastModifiedBy>
  <cp:revision>3</cp:revision>
  <dcterms:created xsi:type="dcterms:W3CDTF">2017-08-30T20:21:00Z</dcterms:created>
  <dcterms:modified xsi:type="dcterms:W3CDTF">2017-08-30T20:42:00Z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Max Hermann Ohnefalsch-Richter auf Zypern</vt:lpwstr>
  </property>
  <property fmtid="{D5CDD505-2E9C-101B-9397-08002B2CF9AE}" pid="3" name="CitaviDocumentProperty_0">
    <vt:lpwstr>c11fb6ce-0924-45cf-81fd-9aa56662c67a</vt:lpwstr>
  </property>
  <property fmtid="{D5CDD505-2E9C-101B-9397-08002B2CF9AE}" pid="4" name="CitaviDocumentProperty_8">
    <vt:lpwstr>D:\Dokumente\Citavi 5\Projects\Max Hermann Ohnefalsch-Richter auf Zypern\Max Hermann Ohnefalsch-Richter auf Zypern.ctv5</vt:lpwstr>
  </property>
  <property fmtid="{D5CDD505-2E9C-101B-9397-08002B2CF9AE}" pid="5" name="CitaviDocumentProperty_1">
    <vt:lpwstr>5.6.0.2</vt:lpwstr>
  </property>
</Properties>
</file>