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160" w:hRule="exact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Approach to reduce the number of initially available connectivities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atlas-based parcellation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data-driven parcellation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theory-based selection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allocation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dimensionality reduction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filter feature selection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wrapper feature selection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(258 nodes: 33.153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selection: wilcoxon rank sum 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Harris,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(5 different atlases),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dimensionality reduction or feature selection in inner loop (4 different approaches: PCA, ANOVA, agglomeration, None)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seed selection (2 brain regions),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outside ML (data leakage): seed-based analysis comparing responders vs. nonresponders in whole data set -&gt; use seed-cluster correlation of the 4 clusters that got significant (4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15 models with different combinations of these 4 connectivities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threshold functional connectivities (proportional),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pooling layers within STCGN (first layer: 90 ROIs, last layer: 14 ROIs)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selection: 9 brain regions (38 between- and within-ROI-connectivities),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outside ML (data leakage): use connectivities that correlate significantly with treatment response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1-feature-model for each of the 4 connectivities, create three 2-features-models by adding the feature that performed best in the 1-feature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(90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theory-based ROI selection (14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1st-level model per ROI (input features: 89 connectivities to whole-brain ROIs, classifier: SVM-RFE),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2nd-level model: SVM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selection: 13 ROIs,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create one model per ROI (input features: connectivities to the 12 other ROIs)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atlas-based brain parcellation (246 ROIs; 30.135 connectivities),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via correlation analysis (keep only correlations above specific threshold value)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aggregate features by summing correlations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brain parcellation (95 ROIs),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extract time-dependent communities via a multilayer detection algorithm; create module allegiance matrices (show whether two nodes are assigned to the same community); calculate node flexibilities for 95 ROIs,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feature selection: minimum redundancy maximum relevance (mRMR) (potential data leakage: It is not clear whether this process is applied on each training set or on the whole data set)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data-based parcellation: MELODIC (Group-ICA, data leakage) -&gt; result: 25 non-noise related independent components (ICs),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maps of group-based components via dual regression,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model for each IC,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feature selection within ML: Group comparison per voxel; voxels whose average values differ most between groups are kept (z-threshold)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theory-based ROI selection (36 ROIs: 630 connectivities),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selection in inner loop: SVM-RFE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data-driven parcellation: meta-ICA (based on combat controls) -&gt; result: 48 non-noise-related independent components (ICs),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maps of group-based components via dual regression,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model for each IC,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feature selection within ML: group comparison per voxel; voxels whose values differ most between groups are kept (z-threshold)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data-driven parcellation: meta-ICA (based on trauma-exposed subjects) -&gt; result: 48 non-noise-related independent components (ICs),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feature extraction: create subject-specific maps of group-based components via GIG-ICA,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create a model for each IC and for each measure of between-IC-connectivity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w:officer="true">
      <w:pgMar w:header="720" w:bottom="720" w:top="720" w:right="720" w:left="720" w:footer="720" w:gutter="720"/>
      <w:pgSz w:h="16838" w:w="11906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2024-01-17T15:58:55Z</dcterms:modified>
  <cp:category/>
</cp:coreProperties>
</file>