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Study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Primary disorder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Definition treatment 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Responders/ nonresponders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Estimating FCs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Input 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Algorithm(s) of the final classifier(s)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Validation 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Best Acc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Information on models tested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Drysdale, 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rTMS at dorsomedial cortex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25% ↓ HDRS-17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 controlled for 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no other models tested</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Harris,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MADRS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67/77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 partial correlation, tangent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whole-brain between-ROI FCs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logistic regression, linear SVM, radial kernel SVM, 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240;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parcellation, connectivity estimation, dimensionality reduction and classifiers;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39% - 61%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Hopman,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rTMS at left DLPFC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MADRS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33/28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 specific ROI-to-cluster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sgACC - frontal pole (l), sgACC - superior parietal lobule (l) , sgACC - lateral occipital cortex (l), DLPFC (l) - central opercular cortex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1-fold 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14;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ca. 38% - 89%
</w:t>
            </w:r>
            <w:r>
              <w:rPr>
                <w:rFonts w:ascii="Arial" w:hAnsi="Arial" w:eastAsia="Arial" w:cs="Arial"/>
                <w:i w:val="false"/>
                <w:b w:val="false"/>
                <w:u w:val="none"/>
                <w:sz w:val="16"/>
                <w:szCs w:val="16"/>
                <w:color w:val="000000"/>
              </w:rPr>
              <w:br/>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Kong,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antidepressants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HDRS-24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 per sliding window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spatio-temporal GCN, GCN,  deep-auto encoder,  random forest,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5;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classifiers;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ca. 50% - 90%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Moreno-Ortega,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remission: HDRS-24 ≤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no information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5 specific between- &amp; within-ROI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DLPFC(p9-46v) - Fundal area of the superior temporal sulcus within MT+ Complex, DLPFC(p9-46v) - MT+ Complex, DLPFC(46) - s32(part of the ACC), connectivity within the ventral stream visual cortex, connectivity within 10r(part of medial prefrontal cortex)
</w:t>
            </w:r>
            <w:r>
              <w:rPr>
                <w:rFonts w:ascii="Arial" w:hAnsi="Arial" w:eastAsia="Arial" w:cs="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logistic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combination of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72% - 89% (mean: 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Pei,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SSRI/SNRI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HDRS-6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seed-based whole-brain connectivity of 14 ROIs (all l/r):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orbital part superior frontal gyrus, triangular part inferior frontal gyrus, insula, anterior cingulate and paracingulate gyri, posterior cingulate gyrus, hippocampus, amygdala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 with RFE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2;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subset vs. whole-brain analysis;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Schultz,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SSRI/Alpha2-receptor-antagonists/AAP/CBT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BDI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between-ROI FCs between 13 ROIs: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sgACC (l/r), amygdala (l/r), intraparietal sulcus (l/r), DLPFC (l/r), anterior insula (l/r), dACC, medial PFC, precuneus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polynomial kernel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13;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44% - 89%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Sun,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 &amp; BPD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&gt; 50% ↓ HDRS-17;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remission: HDRS-17 &lt;7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71/51;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47/73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(mutliple) linear regression, applying binarization afterwards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 10-fold-CV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binary outcome, validation technique and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58% - 75% (mean: 67%)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Tian,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HDRS-17 after 8 weeks; nonresponse: less than 20% ↓ after 2 weeks OR less than 50% ↓ after 8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56/50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 per sliding window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node flexibilities per ROI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 leave-one-site-out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4;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validation technique;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69% - 79% (mean: 73%)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van Waarde,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remission: MADRS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Dual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25;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2 of 25 models got significant</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Wu,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remission: HDRS-17 scores ≤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between-ROI FCs between 36 emotion regulation regions of 4 networks: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1: medial superior frontal gyrus (l, BA 8), middle frontal gyrus (r, BA 8), inferior parietal lobule (l/r, BA 40), medial PFC (l, BA 10), middle frontal gyrus (l, BA 6), middle frontal gyrus (r, BA 11), insula (r), cingulate gyrus (r, BA 23), precuneus (r); network 2: inferior frontal gyrus (l/r, BA 47), superior frontal gyrus (l, BA 6), superior temporal gyrus (l, BA 39), middle temporal gyrus (l, no BA), middle frontal gyrus (l, BA 6), superior frontal gyrus (l, BA 9), caudate (l), tuber (r); network 3: amygdala (l/r), fusiform gyrus (l/r, BA 37), thalamus (r), parahippocampal gyrus (l), medial PFC (bilateral, BA 10), inferior occipital gyrus (l, BA 19); network 4: postcentral gyrus (l/r, BA 2), insula (l, BA 13), superior parietal lobule (l, BA 7), cuneus (l, BA 18), middle occipital gyrus (l, BA 19), thalamus (r), precuneus (r, BA 19), posterior cingulate (r, BA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no other models tested</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Zhutovsky,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PTSD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CBT/EMDR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30% ↓ CAPS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Dual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Gaussian process classifier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10 × 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48;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1 of 48 models got significant</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Zhutovsky, 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(partial) PTSD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CBT/EMDR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30% ↓ CAPS-CA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Gig ICA, Pearson correlation, partial correlation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subject-specific spatial maps, connectivity between ICs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50 x 5-fold CV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50;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and types of features (within- and between-network connectivity);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1 of 50 models got significant</w:t>
            </w:r>
          </w:p>
        </w:tc>
      </w:tr>
    </w:tbl>
    <w:sectPr w:officer="true">
      <w:pgMar w:header="720" w:bottom="720" w:top="720" w:right="720" w:left="720" w:footer="720" w:gutter="720"/>
      <w:pgSz w:h="11906" w:w="16838" w:orient="landscape"/>
      <w:cols/>
      <w:type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2023-06-27T11:29:21Z</dcterms:modified>
  <cp:category/>
</cp:coreProperties>
</file>