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 frontal pole (l), sgACC - superior parietal lobule (l) , sgACC - lateral occipital cortex (l), DLPFC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DLPFC(p9-46v) - Fundal area of the superior temporal sulcus within MT+ Complex, DLPFC(p9-46v) - MT+ Complex, DLPFC(46) - s32(part of the ACC), connectivity within the ventral stream visual cortex, connectivity within 10r(part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superior frontal gyrus, triangular part inferior frontal gyrus, insula, anterior cingulate and paracingulate gyri,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(l/r), amygdala (l/r), intraparietal sulcus (l/r), DLPFC (l/r), anterior insula (l/r), dACC,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remission: HDRS-17 &lt;7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47/73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(mutliple)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network 2: inferior frontal gyrus (l/r, BA 47), superior frontal gyrus (l, BA 6), superior temporal gyrus (l, BA 39), middle temporal gyrus (l, no BA), middle frontal gyrus (l, BA 6), superior frontal gyrus (l, BA 9), caudate (l), tuber (r); network 3: amygdala (l/r), fusiform gyrus (l/r, BA 37), thalamus (r), parahippocampal gyrus (l), medial PFC (bilateral, BA 10), inferior occipital gyrus (l, BA 19); 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connectivity between ICs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2023-06-22T11:57:24Z</dcterms:modified>
  <cp:category/>
</cp:coreProperties>
</file>