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演唱会票务系统需求规格说明书</w:t>
      </w:r>
    </w:p>
    <w:p>
      <w:pPr>
        <w:spacing w:before="120" w:after="120" w:line="288" w:lineRule="auto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表1. 文件修订记录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40"/>
        <w:gridCol w:w="1155"/>
        <w:gridCol w:w="2910"/>
        <w:gridCol w:w="1410"/>
        <w:gridCol w:w="1980"/>
      </w:tblGrid>
      <w:tr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  <w:shd w:fill="f2f3f5"/>
              </w:rPr>
              <w:t>版本编号</w:t>
            </w:r>
          </w:p>
        </w:tc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  <w:shd w:fill="f2f3f5"/>
              </w:rPr>
              <w:t>变化状态</w:t>
            </w:r>
          </w:p>
        </w:tc>
        <w:tc>
          <w:tcPr>
            <w:tcW w:w="29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  <w:shd w:fill="f2f3f5"/>
              </w:rPr>
              <w:t>简要说明（变更内容和变更范围）</w:t>
            </w:r>
          </w:p>
        </w:tc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  <w:shd w:fill="f2f3f5"/>
              </w:rPr>
              <w:t>日期</w:t>
            </w:r>
          </w:p>
        </w:tc>
        <w:tc>
          <w:tcPr>
            <w:tcW w:w="19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  <w:shd w:fill="f2f3f5"/>
              </w:rPr>
              <w:t>变更人</w:t>
            </w:r>
          </w:p>
        </w:tc>
      </w:tr>
      <w:tr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V1.0</w:t>
            </w:r>
          </w:p>
        </w:tc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N</w:t>
            </w:r>
          </w:p>
        </w:tc>
        <w:tc>
          <w:tcPr>
            <w:tcW w:w="29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新建文档，初步定义需求规格</w:t>
            </w:r>
          </w:p>
        </w:tc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2025-03-15</w:t>
            </w:r>
          </w:p>
        </w:tc>
        <w:tc>
          <w:tcPr>
            <w:tcW w:w="19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王耀萱</w:t>
            </w:r>
          </w:p>
        </w:tc>
      </w:tr>
      <w:tr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V1.1</w:t>
            </w:r>
          </w:p>
        </w:tc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</w:t>
            </w:r>
          </w:p>
        </w:tc>
        <w:tc>
          <w:tcPr>
            <w:tcW w:w="29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丰富系统功能定位，细化异常处理</w:t>
            </w:r>
          </w:p>
        </w:tc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2025-3-17</w:t>
            </w:r>
          </w:p>
        </w:tc>
        <w:tc>
          <w:tcPr>
            <w:tcW w:w="19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董淑铭</w:t>
            </w:r>
          </w:p>
        </w:tc>
      </w:tr>
      <w:tr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V1.2</w:t>
            </w:r>
          </w:p>
        </w:tc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</w:t>
            </w:r>
          </w:p>
        </w:tc>
        <w:tc>
          <w:tcPr>
            <w:tcW w:w="29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细化功能描述，基本完善需求规格。</w:t>
            </w:r>
          </w:p>
        </w:tc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2025-3-18</w:t>
            </w:r>
          </w:p>
        </w:tc>
        <w:tc>
          <w:tcPr>
            <w:tcW w:w="19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王耀萱</w:t>
            </w:r>
          </w:p>
        </w:tc>
      </w:tr>
      <w:tr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等线" w:ascii="Arial" w:cs="Arial" w:hAnsi="Arial"/>
                <w:sz w:val="22"/>
              </w:rPr>
              <w:t>v1.3</w:t>
            </w:r>
          </w:p>
        </w:tc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  <w:tc>
          <w:tcPr>
            <w:tcW w:w="29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等线" w:ascii="Arial" w:cs="Arial" w:hAnsi="Arial"/>
                <w:sz w:val="22"/>
              </w:rPr>
              <w:t>完善功能描述</w:t>
            </w:r>
          </w:p>
        </w:tc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2025-4-23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  <w:tc>
          <w:tcPr>
            <w:tcW w:w="19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等线" w:ascii="Arial" w:cs="Arial" w:hAnsi="Arial"/>
                <w:sz w:val="22"/>
              </w:rPr>
              <w:t>赵一卜</w:t>
            </w:r>
          </w:p>
        </w:tc>
      </w:tr>
      <w:tr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  <w:tc>
          <w:tcPr>
            <w:tcW w:w="29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  <w:tc>
          <w:tcPr>
            <w:tcW w:w="19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</w:tr>
      <w:tr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  <w:tc>
          <w:tcPr>
            <w:tcW w:w="29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  <w:tc>
          <w:tcPr>
            <w:tcW w:w="19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</w:tr>
      <w:tr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  <w:tc>
          <w:tcPr>
            <w:tcW w:w="29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  <w:tc>
          <w:tcPr>
            <w:tcW w:w="19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</w:tr>
      <w:tr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  <w:tc>
          <w:tcPr>
            <w:tcW w:w="29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  <w:tc>
          <w:tcPr>
            <w:tcW w:w="19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</w:tr>
      <w:tr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  <w:tc>
          <w:tcPr>
            <w:tcW w:w="29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  <w:tc>
          <w:tcPr>
            <w:tcW w:w="19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注：变化状态：N——新建，C——变更，D——删除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1 简介</w:t>
      </w:r>
      <w:bookmarkEnd w:id="0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1.1 文档说明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本需求规格说明书基于票务系统业务场景，明确系统功能、性能及安全要求，为开发团队提供标准化依据。文档涵盖用户角色划分、核心业务流程及系统非功能性需求。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1.2 业务背景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随着在线票务市场规模年均增长23%，用户对便捷购票、实时座位选择及安全支付的需求显著提升。本系统旨在解决传统票务信息不透明、人工管理效率低等问题，提供全流程数字化服务。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1.3 相关术语</w:t>
      </w:r>
      <w:bookmarkEnd w:id="3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电子票券</w:t>
      </w:r>
      <w:r>
        <w:rPr>
          <w:rFonts w:eastAsia="等线" w:ascii="Arial" w:cs="Arial" w:hAnsi="Arial"/>
          <w:sz w:val="22"/>
        </w:rPr>
        <w:t>：包含动态二维码的数字化凭证，支持防伪验证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锁票机制</w:t>
      </w:r>
      <w:r>
        <w:rPr>
          <w:rFonts w:eastAsia="等线" w:ascii="Arial" w:cs="Arial" w:hAnsi="Arial"/>
          <w:sz w:val="22"/>
        </w:rPr>
        <w:t>：防止超售的库存预占技术，支持5级权限控制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RBAC模型</w:t>
      </w:r>
      <w:r>
        <w:rPr>
          <w:rFonts w:eastAsia="等线" w:ascii="Arial" w:cs="Arial" w:hAnsi="Arial"/>
          <w:sz w:val="22"/>
        </w:rPr>
        <w:t>：基于角色的访问控制权限管理体系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2 系统通用性需求</w:t>
      </w:r>
      <w:bookmarkEnd w:id="4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2.1 性能需求</w:t>
      </w:r>
      <w:bookmarkEnd w:id="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3000"/>
        <w:gridCol w:w="3000"/>
      </w:tblGrid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指标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要求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响应时间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核心操作≤1.5秒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并发能力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支持5万用户同时在线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吞吐量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每秒处理300+订单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2.2 安全需求</w:t>
      </w:r>
      <w:bookmarkEnd w:id="6"/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数据加密</w:t>
      </w:r>
      <w:r>
        <w:rPr>
          <w:rFonts w:eastAsia="等线" w:ascii="Arial" w:cs="Arial" w:hAnsi="Arial"/>
          <w:sz w:val="22"/>
        </w:rPr>
        <w:t>：HTTPS传输+AES-256存储敏感信息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权限控制</w:t>
      </w:r>
      <w:r>
        <w:rPr>
          <w:rFonts w:eastAsia="等线" w:ascii="Arial" w:cs="Arial" w:hAnsi="Arial"/>
          <w:sz w:val="22"/>
        </w:rPr>
        <w:t>：RBAC模型实现5级操作权限分级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登录：</w:t>
      </w:r>
      <w:r>
        <w:rPr>
          <w:rFonts w:eastAsia="等线" w:ascii="Arial" w:cs="Arial" w:hAnsi="Arial"/>
          <w:sz w:val="22"/>
        </w:rPr>
        <w:t>用户名不可重复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2.3 政策法律需求</w:t>
      </w:r>
      <w:bookmarkEnd w:id="7"/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遵循《消费者权益保护法》制定退票政策（购票后7天内可退）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通过PCI DSS支付安全认证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用户数据存储符合GDPR要求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2.4 操作性需求</w:t>
      </w:r>
      <w:bookmarkEnd w:id="8"/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支持Web/移动端自适应布局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操作日志保留6个月可追溯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2.5 其他需求</w:t>
      </w:r>
      <w:bookmarkEnd w:id="9"/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预留第三方支付接口（微信/支付宝）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支持API对接场馆闸机系统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提供数据可视化分析模块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0" w:id="10"/>
      <w:r>
        <w:rPr>
          <w:rFonts w:eastAsia="等线" w:ascii="Arial" w:cs="Arial" w:hAnsi="Arial"/>
          <w:b w:val="true"/>
          <w:sz w:val="32"/>
        </w:rPr>
        <w:t>3 业务描述及系统功能</w:t>
      </w:r>
      <w:bookmarkEnd w:id="10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3.1 业务描述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系统构建票务销售全生命周期管理，覆盖演出信息发布、票务销售、订单处理、用户管理四大核心业务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sz w:val="30"/>
        </w:rPr>
        <w:t>3.2 系统角色划分</w:t>
      </w:r>
      <w:bookmarkEnd w:id="1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550"/>
        <w:gridCol w:w="3180"/>
        <w:gridCol w:w="2550"/>
      </w:tblGrid>
      <w:tr>
        <w:tc>
          <w:tcPr>
            <w:tcW w:w="25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角色</w:t>
            </w:r>
          </w:p>
        </w:tc>
        <w:tc>
          <w:tcPr>
            <w:tcW w:w="31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权限范围</w:t>
            </w:r>
          </w:p>
        </w:tc>
        <w:tc>
          <w:tcPr>
            <w:tcW w:w="25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业务场景</w:t>
            </w:r>
          </w:p>
        </w:tc>
      </w:tr>
      <w:tr>
        <w:tc>
          <w:tcPr>
            <w:tcW w:w="25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普通用户</w:t>
            </w:r>
          </w:p>
        </w:tc>
        <w:tc>
          <w:tcPr>
            <w:tcW w:w="31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查看演出、购票、管理订单</w:t>
            </w:r>
          </w:p>
        </w:tc>
        <w:tc>
          <w:tcPr>
            <w:tcW w:w="25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个人购票行为</w:t>
            </w:r>
          </w:p>
        </w:tc>
      </w:tr>
      <w:tr>
        <w:tc>
          <w:tcPr>
            <w:tcW w:w="25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管理员</w:t>
            </w:r>
          </w:p>
        </w:tc>
        <w:tc>
          <w:tcPr>
            <w:tcW w:w="31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全量数据管理、用户权限调整</w:t>
            </w:r>
          </w:p>
        </w:tc>
        <w:tc>
          <w:tcPr>
            <w:tcW w:w="25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运营管理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b w:val="true"/>
          <w:sz w:val="30"/>
        </w:rPr>
        <w:t>3.3 系统功能用例</w:t>
      </w:r>
      <w:bookmarkEnd w:id="13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4" w:id="14"/>
      <w:r>
        <w:rPr>
          <w:rFonts w:eastAsia="等线" w:ascii="Arial" w:cs="Arial" w:hAnsi="Arial"/>
          <w:b w:val="true"/>
          <w:sz w:val="28"/>
        </w:rPr>
        <w:t>用户端功能矩阵</w:t>
      </w:r>
      <w:bookmarkEnd w:id="1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75"/>
        <w:gridCol w:w="3735"/>
      </w:tblGrid>
      <w:tr>
        <w:tc>
          <w:tcPr>
            <w:tcW w:w="15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模块</w:t>
            </w:r>
          </w:p>
        </w:tc>
        <w:tc>
          <w:tcPr>
            <w:tcW w:w="37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子功能</w:t>
            </w:r>
          </w:p>
        </w:tc>
      </w:tr>
      <w:tr>
        <w:tc>
          <w:tcPr>
            <w:tcW w:w="15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账户管理</w:t>
            </w:r>
          </w:p>
        </w:tc>
        <w:tc>
          <w:tcPr>
            <w:tcW w:w="37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邮箱注册+手机验证</w:t>
            </w:r>
          </w:p>
        </w:tc>
      </w:tr>
      <w:tr>
        <w:tc>
          <w:tcPr>
            <w:tcW w:w="15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演出浏览</w:t>
            </w:r>
          </w:p>
        </w:tc>
        <w:tc>
          <w:tcPr>
            <w:tcW w:w="37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多维度筛选（</w:t>
            </w:r>
            <w:r>
              <w:rPr>
                <w:rFonts w:eastAsia="等线" w:ascii="Arial" w:cs="Arial" w:hAnsi="Arial"/>
                <w:sz w:val="22"/>
              </w:rPr>
              <w:t>名称/</w:t>
            </w:r>
            <w:r>
              <w:rPr>
                <w:rFonts w:eastAsia="等线" w:ascii="Arial" w:cs="Arial" w:hAnsi="Arial"/>
                <w:sz w:val="22"/>
              </w:rPr>
              <w:t>时间/</w:t>
            </w:r>
            <w:r>
              <w:rPr>
                <w:rFonts w:eastAsia="等线" w:ascii="Arial" w:cs="Arial" w:hAnsi="Arial"/>
                <w:sz w:val="22"/>
              </w:rPr>
              <w:t>地点/</w:t>
            </w:r>
            <w:r>
              <w:rPr>
                <w:rFonts w:eastAsia="等线" w:ascii="Arial" w:cs="Arial" w:hAnsi="Arial"/>
                <w:sz w:val="22"/>
              </w:rPr>
              <w:t>票价）</w:t>
            </w:r>
          </w:p>
        </w:tc>
      </w:tr>
      <w:tr>
        <w:tc>
          <w:tcPr>
            <w:tcW w:w="15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购票流程</w:t>
            </w:r>
          </w:p>
        </w:tc>
        <w:tc>
          <w:tcPr>
            <w:tcW w:w="37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选择演出</w:t>
            </w:r>
            <w:r>
              <w:rPr>
                <w:rFonts w:eastAsia="等线" w:ascii="Arial" w:cs="Arial" w:hAnsi="Arial"/>
                <w:sz w:val="22"/>
              </w:rPr>
              <w:t>→订单确认→支付</w:t>
            </w:r>
          </w:p>
        </w:tc>
      </w:tr>
      <w:tr>
        <w:tc>
          <w:tcPr>
            <w:tcW w:w="15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订单管理</w:t>
            </w:r>
          </w:p>
        </w:tc>
        <w:tc>
          <w:tcPr>
            <w:tcW w:w="37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未支付时可选择取消，支付完成不可退票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5" w:id="15"/>
      <w:r>
        <w:rPr>
          <w:rFonts w:eastAsia="等线" w:ascii="Arial" w:cs="Arial" w:hAnsi="Arial"/>
          <w:b w:val="true"/>
          <w:sz w:val="28"/>
        </w:rPr>
        <w:t>管理端功能矩阵</w:t>
      </w:r>
      <w:bookmarkEnd w:id="1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3000"/>
        <w:gridCol w:w="3000"/>
      </w:tblGrid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模块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子功能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演出管理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导入演出信息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票务管理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动态调价策略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用户管理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权限升降级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6" w:id="16"/>
      <w:r>
        <w:rPr>
          <w:rFonts w:eastAsia="等线" w:ascii="Arial" w:cs="Arial" w:hAnsi="Arial"/>
          <w:b w:val="true"/>
          <w:sz w:val="30"/>
        </w:rPr>
        <w:t>3.4 系统功能用例分析</w:t>
      </w:r>
      <w:bookmarkEnd w:id="1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用例1：演唱会票务预订</w:t>
      </w:r>
      <w:r>
        <w:rPr>
          <w:rFonts w:eastAsia="等线" w:ascii="Arial" w:cs="Arial" w:hAnsi="Arial"/>
          <w:b w:val="true"/>
          <w:sz w:val="22"/>
        </w:rPr>
        <w:t>（用户）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用户进入演出详情页查看</w:t>
      </w:r>
      <w:r>
        <w:rPr>
          <w:rFonts w:eastAsia="等线" w:ascii="Arial" w:cs="Arial" w:hAnsi="Arial"/>
          <w:sz w:val="22"/>
        </w:rPr>
        <w:t>演出信息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选择想看演唱会并进行购票（一个用户最多买五张）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生成待支付订单并跳转支付页面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用例2：演唱会管理（管理员）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增删改查演唱会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用户信息（ID、用户名、邮箱、电话、注册时间、角色）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可编辑用户个人信息和权限（管理员/用户）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可对多余用户进行删除操作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后台查看演唱会预定信息（可对待支付的订单进行取消操作）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90467">
    <w:lvl>
      <w:numFmt w:val="bullet"/>
      <w:suff w:val="tab"/>
      <w:lvlText w:val="•"/>
      <w:rPr>
        <w:color w:val="3370ff"/>
      </w:rPr>
    </w:lvl>
  </w:abstractNum>
  <w:abstractNum w:abstractNumId="190468">
    <w:lvl>
      <w:numFmt w:val="bullet"/>
      <w:suff w:val="tab"/>
      <w:lvlText w:val="•"/>
      <w:rPr>
        <w:color w:val="3370ff"/>
      </w:rPr>
    </w:lvl>
  </w:abstractNum>
  <w:abstractNum w:abstractNumId="190469">
    <w:lvl>
      <w:numFmt w:val="bullet"/>
      <w:suff w:val="tab"/>
      <w:lvlText w:val="•"/>
      <w:rPr>
        <w:color w:val="3370ff"/>
      </w:rPr>
    </w:lvl>
  </w:abstractNum>
  <w:abstractNum w:abstractNumId="190470">
    <w:lvl>
      <w:numFmt w:val="bullet"/>
      <w:suff w:val="tab"/>
      <w:lvlText w:val="•"/>
      <w:rPr>
        <w:color w:val="3370ff"/>
      </w:rPr>
    </w:lvl>
  </w:abstractNum>
  <w:abstractNum w:abstractNumId="190471">
    <w:lvl>
      <w:numFmt w:val="bullet"/>
      <w:suff w:val="tab"/>
      <w:lvlText w:val="•"/>
      <w:rPr>
        <w:color w:val="3370ff"/>
      </w:rPr>
    </w:lvl>
  </w:abstractNum>
  <w:abstractNum w:abstractNumId="190472">
    <w:lvl>
      <w:numFmt w:val="bullet"/>
      <w:suff w:val="tab"/>
      <w:lvlText w:val="•"/>
      <w:rPr>
        <w:color w:val="3370ff"/>
      </w:rPr>
    </w:lvl>
  </w:abstractNum>
  <w:abstractNum w:abstractNumId="190473">
    <w:lvl>
      <w:numFmt w:val="bullet"/>
      <w:suff w:val="tab"/>
      <w:lvlText w:val="•"/>
      <w:rPr>
        <w:color w:val="3370ff"/>
      </w:rPr>
    </w:lvl>
  </w:abstractNum>
  <w:abstractNum w:abstractNumId="190474">
    <w:lvl>
      <w:numFmt w:val="bullet"/>
      <w:suff w:val="tab"/>
      <w:lvlText w:val="•"/>
      <w:rPr>
        <w:color w:val="3370ff"/>
      </w:rPr>
    </w:lvl>
  </w:abstractNum>
  <w:abstractNum w:abstractNumId="190475">
    <w:lvl>
      <w:numFmt w:val="bullet"/>
      <w:suff w:val="tab"/>
      <w:lvlText w:val="•"/>
      <w:rPr>
        <w:color w:val="3370ff"/>
      </w:rPr>
    </w:lvl>
  </w:abstractNum>
  <w:abstractNum w:abstractNumId="190476">
    <w:lvl>
      <w:numFmt w:val="bullet"/>
      <w:suff w:val="tab"/>
      <w:lvlText w:val="•"/>
      <w:rPr>
        <w:color w:val="3370ff"/>
      </w:rPr>
    </w:lvl>
  </w:abstractNum>
  <w:abstractNum w:abstractNumId="190477">
    <w:lvl>
      <w:numFmt w:val="bullet"/>
      <w:suff w:val="tab"/>
      <w:lvlText w:val="•"/>
      <w:rPr>
        <w:color w:val="3370ff"/>
      </w:rPr>
    </w:lvl>
  </w:abstractNum>
  <w:abstractNum w:abstractNumId="190478">
    <w:lvl>
      <w:numFmt w:val="bullet"/>
      <w:suff w:val="tab"/>
      <w:lvlText w:val="•"/>
      <w:rPr>
        <w:color w:val="3370ff"/>
      </w:rPr>
    </w:lvl>
  </w:abstractNum>
  <w:abstractNum w:abstractNumId="190479">
    <w:lvl>
      <w:numFmt w:val="bullet"/>
      <w:suff w:val="tab"/>
      <w:lvlText w:val="•"/>
      <w:rPr>
        <w:color w:val="3370ff"/>
      </w:rPr>
    </w:lvl>
  </w:abstractNum>
  <w:abstractNum w:abstractNumId="190480">
    <w:lvl>
      <w:numFmt w:val="bullet"/>
      <w:suff w:val="tab"/>
      <w:lvlText w:val="•"/>
      <w:rPr>
        <w:color w:val="3370ff"/>
      </w:rPr>
    </w:lvl>
  </w:abstractNum>
  <w:abstractNum w:abstractNumId="190481">
    <w:lvl>
      <w:start w:val="1"/>
      <w:numFmt w:val="decimal"/>
      <w:suff w:val="tab"/>
      <w:lvlText w:val="%1."/>
      <w:rPr>
        <w:color w:val="3370ff"/>
      </w:rPr>
    </w:lvl>
  </w:abstractNum>
  <w:abstractNum w:abstractNumId="190482">
    <w:lvl>
      <w:start w:val="2"/>
      <w:numFmt w:val="decimal"/>
      <w:suff w:val="tab"/>
      <w:lvlText w:val="%1."/>
      <w:rPr>
        <w:color w:val="3370ff"/>
      </w:rPr>
    </w:lvl>
  </w:abstractNum>
  <w:abstractNum w:abstractNumId="190483">
    <w:lvl>
      <w:start w:val="3"/>
      <w:numFmt w:val="decimal"/>
      <w:suff w:val="tab"/>
      <w:lvlText w:val="%1."/>
      <w:rPr>
        <w:color w:val="3370ff"/>
      </w:rPr>
    </w:lvl>
  </w:abstractNum>
  <w:abstractNum w:abstractNumId="190484">
    <w:lvl>
      <w:start w:val="1"/>
      <w:numFmt w:val="decimal"/>
      <w:suff w:val="tab"/>
      <w:lvlText w:val="%1."/>
      <w:rPr>
        <w:color w:val="3370ff"/>
      </w:rPr>
    </w:lvl>
  </w:abstractNum>
  <w:abstractNum w:abstractNumId="190485">
    <w:lvl>
      <w:start w:val="2"/>
      <w:numFmt w:val="decimal"/>
      <w:suff w:val="tab"/>
      <w:lvlText w:val="%1."/>
      <w:rPr>
        <w:color w:val="3370ff"/>
      </w:rPr>
    </w:lvl>
  </w:abstractNum>
  <w:abstractNum w:abstractNumId="190486">
    <w:lvl>
      <w:start w:val="3"/>
      <w:numFmt w:val="decimal"/>
      <w:suff w:val="tab"/>
      <w:lvlText w:val="%1."/>
      <w:rPr>
        <w:color w:val="3370ff"/>
      </w:rPr>
    </w:lvl>
  </w:abstractNum>
  <w:abstractNum w:abstractNumId="190487">
    <w:lvl>
      <w:start w:val="4"/>
      <w:numFmt w:val="decimal"/>
      <w:suff w:val="tab"/>
      <w:lvlText w:val="%1."/>
      <w:rPr>
        <w:color w:val="3370ff"/>
      </w:rPr>
    </w:lvl>
  </w:abstractNum>
  <w:abstractNum w:abstractNumId="190488">
    <w:lvl>
      <w:start w:val="5"/>
      <w:numFmt w:val="decimal"/>
      <w:suff w:val="tab"/>
      <w:lvlText w:val="%1."/>
      <w:rPr>
        <w:color w:val="3370ff"/>
      </w:rPr>
    </w:lvl>
  </w:abstractNum>
  <w:num w:numId="1">
    <w:abstractNumId w:val="190467"/>
  </w:num>
  <w:num w:numId="2">
    <w:abstractNumId w:val="190468"/>
  </w:num>
  <w:num w:numId="3">
    <w:abstractNumId w:val="190469"/>
  </w:num>
  <w:num w:numId="4">
    <w:abstractNumId w:val="190470"/>
  </w:num>
  <w:num w:numId="5">
    <w:abstractNumId w:val="190471"/>
  </w:num>
  <w:num w:numId="6">
    <w:abstractNumId w:val="190472"/>
  </w:num>
  <w:num w:numId="7">
    <w:abstractNumId w:val="190473"/>
  </w:num>
  <w:num w:numId="8">
    <w:abstractNumId w:val="190474"/>
  </w:num>
  <w:num w:numId="9">
    <w:abstractNumId w:val="190475"/>
  </w:num>
  <w:num w:numId="10">
    <w:abstractNumId w:val="190476"/>
  </w:num>
  <w:num w:numId="11">
    <w:abstractNumId w:val="190477"/>
  </w:num>
  <w:num w:numId="12">
    <w:abstractNumId w:val="190478"/>
  </w:num>
  <w:num w:numId="13">
    <w:abstractNumId w:val="190479"/>
  </w:num>
  <w:num w:numId="14">
    <w:abstractNumId w:val="190480"/>
  </w:num>
  <w:num w:numId="15">
    <w:abstractNumId w:val="190481"/>
  </w:num>
  <w:num w:numId="16">
    <w:abstractNumId w:val="190482"/>
  </w:num>
  <w:num w:numId="17">
    <w:abstractNumId w:val="190483"/>
  </w:num>
  <w:num w:numId="18">
    <w:abstractNumId w:val="190484"/>
  </w:num>
  <w:num w:numId="19">
    <w:abstractNumId w:val="190485"/>
  </w:num>
  <w:num w:numId="20">
    <w:abstractNumId w:val="190486"/>
  </w:num>
  <w:num w:numId="21">
    <w:abstractNumId w:val="190487"/>
  </w:num>
  <w:num w:numId="22">
    <w:abstractNumId w:val="19048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2025-04-28T07:23:05Z</dcterms:created>
  <dc:creator>Apache POI</dc:creator>
</cp:coreProperties>
</file>