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Strategic Projects: Program &amp; Staff / Equipment &amp; Technology Grants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M.J. Murdock Charitable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inquiry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grants; recipient cofunds at least 50% of costs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PNW-focused funder of 501(c)(3) capacity building; values diversified funding and community flourishing.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projects, essential equipment/technology, new programs or program expansion.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and tribal entities in the Pacific Northwest. Requires recipient to cover at least 50% of project costs.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 consideration; Murdock uses an inquiry-then-proposal process. Confirm current process on Murdock's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Murdock is a major Pacific Northwest funder supporting capacity building, program expansion, and equipment/technology for 501(c)(3)s. It values organizations with diversified funding and clear community impact. Expect a cost-share requirement (recipient covers ~50%) and an inquiry-first process. A good fit for funding internal systems, staff capacity, or technology that supports Proud Ground's growth.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Murdock's Strategic Projects funding suits a defined capacity, technology, or program-expansion need that strengthens Proud Ground's operations. A rolling inquiry lets Proud Ground propose, for example, systems to manage its growing stewardship caseload or to expand homebuyer programming.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Initial inquiry/letter via Murdock process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50% cost-share plan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of diversified funding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Full proposal if invited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5nj2d4mvod7ndc31u7cfo">
        <w:r>
          <w:rPr>
            <w:rStyle w:val="Hyperlink"/>
            <w:color w:val="1155CC"/>
            <w:sz w:val="22"/>
            <w:szCs w:val="22"/>
            <w:u w:val="single"/>
          </w:rPr>
          <w:t xml:space="preserve">https://murdocktrust.org/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nj2d4mvod7ndc31u7cfo" Type="http://schemas.openxmlformats.org/officeDocument/2006/relationships/hyperlink" Target="https://murdocktrus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Strategic Projects: Program &amp; Staff / Equipment &amp; Technology Grants</dc:title>
  <dc:creator>Proud Ground Grant Tracker</dc:creator>
  <cp:lastModifiedBy>Un-named</cp:lastModifiedBy>
  <cp:revision>1</cp:revision>
  <dcterms:created xsi:type="dcterms:W3CDTF">2026-06-27T02:10:02.058Z</dcterms:created>
  <dcterms:modified xsi:type="dcterms:W3CDTF">2026-06-27T02:10:02.058Z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