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Housing Affordability Breakthrough Challenge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Wells Fargo / Enterprise Community Partners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May 15, 2027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Next cycle ~spring 2027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$2,000,000 each to five winning organizations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Medium-High – rewards scalable, innovative housing solutions; the CLT shared-equity model could qualify under Finance or Service &amp; Delivery.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Scaling an innovative housing solution in Design &amp; Construction, Finance, or Service &amp; Delivery.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Nonprofit and for-profit orgs with demonstrated early results and a strategy to scale. Priority scoring for organizations in select states.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2026 cycle ran April 1 – May 15, 2026 (closed). Next cycle expected ~spring 2027. Three-round competition.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A high-dollar national competition ($2M per winner) for proven, scalable housing innovations. Proud Ground's permanently-affordable shared-equity CLT model is a strong narrative fit under the Finance or Service &amp; Delivery categories. It's competitive and multi-round, so best pursued with a clearly differentiated, data-backed innovation. Watch for the spring 2027 opening.</w:t>
      </w:r>
    </w:p>
    <w:p>
      <w:pPr>
        <w:pStyle w:val="Heading2"/>
      </w:pPr>
      <w:r>
        <w:t xml:space="preserve">How This Applies to Proud Ground</w:t>
      </w:r>
    </w:p>
    <w:p>
      <w:r>
        <w:rPr>
          <w:sz w:val="22"/>
          <w:szCs w:val="22"/>
        </w:rPr>
        <w:t xml:space="preserve">Proud Ground's shared-equity, community-land-trust model is exactly the kind of scalable housing-affordability innovation this challenge rewards. A competitive entry would package its lasting-affordability resale formula as a replicable solution in the Finance or Service &amp; Delivery track.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Evidence base / demonstrated results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Scaling strategy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Innovation narrative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Multi-round application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kfvn9a-umvmd2yp_tqbu9">
        <w:r>
          <w:rPr>
            <w:rStyle w:val="Hyperlink"/>
            <w:color w:val="1155CC"/>
            <w:sz w:val="22"/>
            <w:szCs w:val="22"/>
            <w:u w:val="single"/>
          </w:rPr>
          <w:t xml:space="preserve">https://www.enterprisecommunity.org/housing-affordability-breakthrough-challenge/national-grant-competition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fvn9a-umvmd2yp_tqbu9" Type="http://schemas.openxmlformats.org/officeDocument/2006/relationships/hyperlink" Target="https://www.enterprisecommunity.org/housing-affordability-breakthrough-challenge/national-grant-competitio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Housing Affordability Breakthrough Challenge</dc:title>
  <dc:creator>Proud Ground Grant Tracker</dc:creator>
  <cp:lastModifiedBy>Un-named</cp:lastModifiedBy>
  <cp:revision>1</cp:revision>
  <dcterms:created xsi:type="dcterms:W3CDTF">2026-06-27T02:10:02.151Z</dcterms:created>
  <dcterms:modified xsi:type="dcterms:W3CDTF">2026-06-27T02:10:02.151Z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