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Strategic Projects: Program &amp; Staff / Equipment &amp; Technology Grants</w:t>
      </w:r>
    </w:p>
    <w:p>
      <w:pPr>
        <w:spacing w:after="60"/>
      </w:pPr>
      <w:r>
        <w:rPr>
          <w:b/>
          <w:bCs/>
          <w:color w:val="46605C"/>
          <w:sz w:val="22"/>
          <w:szCs w:val="22"/>
        </w:rPr>
        <w:t xml:space="preserve">M.J. Murdock Charitable Trust</w:t>
      </w:r>
    </w:p>
    <w:p>
      <w:pPr>
        <w:pStyle w:val="Heading2"/>
      </w:pPr>
      <w:r>
        <w:t xml:space="preserve">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Deadline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BEF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December 31, 2026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Rolling inquiry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Award amount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Capacity-building grants; recipient cofunds at least 50% of costs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Medium-High – PNW-focused funder of 501(c)(3) capacity building; values diversified funding and community flourishing.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Eligible uses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Capacity-building projects, essential equipment/technology, new programs or program expansion.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501(c)(3) nonprofits and tribal entities in the Pacific Northwest. Requires recipient to cover at least 50% of project costs.</w:t>
            </w:r>
          </w:p>
        </w:tc>
      </w:tr>
    </w:tbl>
    <w:p>
      <w:pPr>
        <w:pStyle w:val="Heading2"/>
      </w:pPr>
      <w:r>
        <w:t xml:space="preserve">Deadline Detail</w:t>
      </w:r>
    </w:p>
    <w:p>
      <w:r>
        <w:rPr>
          <w:sz w:val="22"/>
          <w:szCs w:val="22"/>
        </w:rPr>
        <w:t xml:space="preserve">Rolling consideration; Murdock uses an inquiry-then-proposal process. Confirm current process on Murdock's site.</w:t>
      </w:r>
    </w:p>
    <w:p>
      <w:pPr>
        <w:pStyle w:val="Heading2"/>
      </w:pPr>
      <w:r>
        <w:t xml:space="preserve">Summary &amp; Why It Fits</w:t>
      </w:r>
    </w:p>
    <w:p>
      <w:r>
        <w:rPr>
          <w:sz w:val="22"/>
          <w:szCs w:val="22"/>
        </w:rPr>
        <w:t xml:space="preserve">Murdock is a major Pacific Northwest funder supporting capacity building, program expansion, and equipment/technology for 501(c)(3)s. It values organizations with diversified funding and clear community impact. Expect a cost-share requirement (recipient covers ~50%) and an inquiry-first process. A good fit for funding internal systems, staff capacity, or technology that supports Proud Ground's growth.</w:t>
      </w:r>
    </w:p>
    <w:p>
      <w:pPr>
        <w:pStyle w:val="Heading2"/>
      </w:pPr>
      <w:r>
        <w:t xml:space="preserve">Application Checklist — What You’ll Need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Initial inquiry/letter via Murdock process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50% cost-share plan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Evidence of diversified funding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proposal if invited</w:t>
      </w:r>
    </w:p>
    <w:p>
      <w:pPr>
        <w:pStyle w:val="Heading2"/>
      </w:pPr>
      <w:r>
        <w:t xml:space="preserve">Where to Apply</w:t>
      </w:r>
    </w:p>
    <w:p>
      <w:pPr>
        <w:spacing w:after="40"/>
      </w:pPr>
      <w:r>
        <w:rPr>
          <w:sz w:val="22"/>
          <w:szCs w:val="22"/>
        </w:rPr>
        <w:t xml:space="preserve">Official funder page: </w:t>
      </w:r>
      <w:hyperlink w:history="1" r:id="rIdh11mdqxyyujm866tbe9ni">
        <w:r>
          <w:rPr>
            <w:rStyle w:val="Hyperlink"/>
            <w:color w:val="1155CC"/>
            <w:sz w:val="22"/>
            <w:szCs w:val="22"/>
            <w:u w:val="single"/>
          </w:rPr>
          <w:t xml:space="preserve">https://murdocktrust.org/</w:t>
        </w:r>
      </w:hyperlink>
    </w:p>
    <w:p>
      <w:pPr>
        <w:pBdr>
          <w:top w:val="single" w:color="DDD8CC" w:sz="4" w:space="6"/>
        </w:pBdr>
        <w:spacing w:before="320"/>
      </w:pPr>
      <w:r>
        <w:rPr>
          <w:i/>
          <w:iCs/>
          <w:color w:val="46605C"/>
          <w:sz w:val="16"/>
          <w:szCs w:val="16"/>
        </w:rPr>
        <w:t xml:space="preserve">Prepared for Proud Ground (EIN 93-1290320), a 501(c)(3) Community Land Trust serving Oregon and SW Washington. This summary is a research aid and not legal or financial advice.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6605C"/>
        <w:sz w:val="14"/>
        <w:szCs w:val="14"/>
      </w:rPr>
      <w:t xml:space="preserve">Research aid — confirm all details on the funder’s official page before applying.  Compiled June 26, 2026.  Page </w:t>
    </w:r>
    <w:r>
      <w:rPr>
        <w:color w:val="4660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32F" w:sz="6" w:space="4"/>
      </w:pBdr>
    </w:pPr>
    <w:r>
      <w:rPr>
        <w:b/>
        <w:bCs/>
        <w:color w:val="46605C"/>
        <w:sz w:val="16"/>
        <w:szCs w:val="16"/>
      </w:rPr>
      <w:t xml:space="preserve">PROUD GROUND  •  GRANT OPPORTUNITY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9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873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11mdqxyyujm866tbe9ni" Type="http://schemas.openxmlformats.org/officeDocument/2006/relationships/hyperlink" Target="https://murdocktrust.org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Projects: Program &amp; Staff / Equipment &amp; Technology Grants</dc:title>
  <dc:creator>Proud Ground Grant Tracker</dc:creator>
  <cp:lastModifiedBy>Un-named</cp:lastModifiedBy>
  <cp:revision>1</cp:revision>
  <dcterms:created xsi:type="dcterms:W3CDTF">2026-06-27T00:49:21.470Z</dcterms:created>
  <dcterms:modified xsi:type="dcterms:W3CDTF">2026-06-27T00:49:21.470Z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