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bookmarkStart w:id="0" w:name="_GoBack"/>
      <w:r>
        <w:rPr>
          <w:rFonts w:ascii="Arial" w:hAnsi="Arial" w:eastAsia="黑体"/>
          <w:b/>
          <w:sz w:val="44"/>
        </w:rPr>
        <w:t xml:space="preserve">第1章 绪论</w:t>
      </w:r>
      <w:r/>
    </w:p>
    <w:p>
      <w:pPr>
        <w:pBdr/>
        <w:spacing/>
        <w:ind/>
        <w:rPr/>
      </w:pPr>
      <w:r>
        <w:rPr>
          <w:rFonts w:ascii="Arial" w:hAnsi="Arial" w:eastAsia="黑体"/>
          <w:b/>
          <w:sz w:val="32"/>
        </w:rPr>
        <w:t xml:space="preserve">1.1 研究背景与意义</w:t>
      </w:r>
      <w:r/>
    </w:p>
    <w:p>
      <w:pPr>
        <w:pBdr/>
        <w:spacing/>
        <w:ind/>
        <w:rPr/>
      </w:pPr>
      <w:r>
        <w:rPr>
          <w:rFonts w:ascii="Arial" w:hAnsi="Arial" w:eastAsia="黑体"/>
          <w:b/>
          <w:sz w:val="30"/>
        </w:rPr>
        <w:t xml:space="preserve">1.1.1 电信网络诈骗的严峻态势与生成式AI带来的新型威胁</w:t>
      </w:r>
      <w:r/>
    </w:p>
    <w:p>
      <w:pPr>
        <w:pBdr/>
        <w:spacing w:line="360" w:lineRule="auto"/>
        <w:ind w:firstLine="480"/>
        <w:jc w:val="both"/>
        <w:rPr/>
      </w:pPr>
      <w:r>
        <w:rPr>
          <w:rFonts w:ascii="Times New Roman" w:hAnsi="Times New Roman" w:eastAsia="宋体"/>
          <w:sz w:val="24"/>
        </w:rPr>
        <w:t>信息技术演进的同时，电信网络诈骗的全球破坏力持续增强，直接经济损失屡创新高[06]。犯罪团伙已突破单一攻击途径的局限，手段向语音、图像与文本的多模态融合演变，进而形成了高内聚的黑灰产业链[32]。在此背景下，生成式人工智能（Generative AI）技术的开源与普及打破了伪造内容的制作壁垒，使攻击者能够批量生成高逼真的虚假对话、图像甚至视频流。这种低成本的生成式欺诈极易绕过基于硬规则匹配或手工特征提取的传统拦截策略。由此产生的非对称对抗模式导致端侧风险识别面临严重滞后，对现有公共安全防线构成了实质性冲击。</w:t>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
    </w:p>
    <w:p>
      <w:pPr>
        <w:pBdr/>
        <w:spacing/>
        <w:ind/>
        <w:rPr/>
      </w:pPr>
      <w:r>
        <w:rPr>
          <w:rFonts w:ascii="Arial" w:hAnsi="Arial" w:eastAsia="黑体"/>
          <w:b/>
          <w:sz w:val="30"/>
        </w:rPr>
        <w:t xml:space="preserve">1.1.2 现有大模型反诈系统面临的隐私数据敏感与本地算力瓶颈</w:t>
      </w:r>
      <w:r/>
    </w:p>
    <w:p>
      <w:pPr>
        <w:pBdr/>
        <w:spacing w:line="360" w:lineRule="auto"/>
        <w:ind w:firstLine="480"/>
        <w:jc w:val="both"/>
        <w:rPr/>
      </w:pPr>
      <w:r>
        <w:rPr>
          <w:rFonts w:ascii="Times New Roman" w:hAnsi="Times New Roman" w:eastAsia="宋体"/>
          <w:sz w:val="24"/>
        </w:rPr>
        <w:t xml:space="preserve">面对诈骗模式的快速迭代，现有研究开始探索将大语言模型（LLMs）下沉至反诈场景，以期利用其高维度的语义对齐与上下文推理机制</w:t>
      </w:r>
      <w:r>
        <w:rPr>
          <w:rFonts w:ascii="Times New Roman" w:hAnsi="Times New Roman" w:eastAsia="宋体"/>
          <w:sz w:val="20"/>
          <w:vertAlign w:val="superscript"/>
        </w:rPr>
        <w:t xml:space="preserve">[13]</w:t>
      </w:r>
      <w:r>
        <w:rPr>
          <w:rFonts w:ascii="Times New Roman" w:hAnsi="Times New Roman" w:eastAsia="宋体"/>
          <w:sz w:val="24"/>
        </w:rPr>
        <w:t xml:space="preserve">。然而，反诈数据链路天然包含高密级的用户通话记录与身份标签。若直接路由至云端闭源模型接口，数据出域带来的隐私泄露风险将难以管控。由此，将推理引擎私有化部署于边缘侧或本地服务器成为一种工程妥协。但在实际落地中，本地异构算力普遍受限，根本无法驻留千亿参数规模的模型权重</w:t>
      </w:r>
      <w:r>
        <w:rPr>
          <w:rFonts w:ascii="Times New Roman" w:hAnsi="Times New Roman" w:eastAsia="宋体"/>
          <w:sz w:val="20"/>
          <w:vertAlign w:val="superscript"/>
        </w:rPr>
        <w:t xml:space="preserve">[30]</w:t>
      </w:r>
      <w:r>
        <w:rPr>
          <w:rFonts w:ascii="Times New Roman" w:hAnsi="Times New Roman" w:eastAsia="宋体"/>
          <w:sz w:val="24"/>
        </w:rPr>
        <w:t xml:space="preserve">。退而求其次，即便换用4B量级的轻量化网络（例如Phi-3</w:t>
      </w:r>
      <w:r>
        <w:rPr>
          <w:rFonts w:ascii="Times New Roman" w:hAnsi="Times New Roman" w:eastAsia="宋体"/>
          <w:sz w:val="20"/>
          <w:vertAlign w:val="superscript"/>
        </w:rPr>
        <w:t xml:space="preserve">[12]</w:t>
      </w:r>
      <w:r>
        <w:rPr>
          <w:rFonts w:ascii="Times New Roman" w:hAnsi="Times New Roman" w:eastAsia="宋体"/>
          <w:sz w:val="24"/>
        </w:rPr>
        <w:t xml:space="preserve">或Gemma</w:t>
      </w:r>
      <w:r>
        <w:rPr>
          <w:rFonts w:ascii="Times New Roman" w:hAnsi="Times New Roman" w:eastAsia="宋体"/>
          <w:sz w:val="20"/>
          <w:vertAlign w:val="superscript"/>
        </w:rPr>
        <w:t xml:space="preserve">[07]</w:t>
      </w:r>
      <w:r>
        <w:t xml:space="preserve">），当面临多跳图谱推理或跨模态表征关联任务时，模型自身的认知瓶颈便会暴露无遗——具体表现为领域知识盲区、长程逻辑断裂，乃至于输出状态机的直接崩溃，导致整体可用性大幅降级。</w:t>
      </w:r>
      <w:r/>
    </w:p>
    <w:p>
      <w:pPr>
        <w:pBdr/>
        <w:spacing/>
        <w:ind/>
        <w:rPr/>
      </w:pPr>
      <w:r>
        <w:rPr>
          <w:rFonts w:ascii="Arial" w:hAnsi="Arial" w:eastAsia="黑体"/>
          <w:b/>
          <w:sz w:val="30"/>
        </w:rPr>
        <w:t xml:space="preserve">1.1.3 “工程架构补偿模型智力”核心命题的提出与工程意义</w:t>
      </w:r>
      <w:r/>
    </w:p>
    <w:p>
      <w:pPr>
        <w:pBdr/>
        <w:spacing w:line="360" w:lineRule="auto"/>
        <w:ind w:firstLine="480"/>
        <w:jc w:val="both"/>
        <w:rPr/>
      </w:pPr>
      <w:r>
        <w:rPr>
          <w:rFonts w:ascii="Times New Roman" w:hAnsi="Times New Roman" w:eastAsia="宋体"/>
          <w:sz w:val="24"/>
        </w:rPr>
        <w:t>受限于算力瓶颈与数据合规要求，防守方难以继续依赖单纯扩张模型参数的粗放策略。对此，本文提出“工程架构补偿模型智力”的设计范式。该范式核心在于借助外部系统级调度逻辑，填补低参模型在复杂研判中的表征短板。具体实施上，长链路反诈推理过程被解构为若干原子化子任务，每个节点均配备专属智能体以处理单一映射；同时，解码端集成神经符号耦合器，实现离散输出的结构化收敛。针对幻觉问题，底层接入Neo4j驱动的领域知识图谱，并借助GraphRAG完成外部事实的严格锚定[09]。实验验证显示，该架构可将4B级模型的局部性能提升至可用阈值之上。这一成果为构建完全离线、零API依赖的端侧反诈微隔离网络提供了实质性参考架构。</w:t>
      </w:r>
      <w:r>
        <w:rPr>
          <w:rFonts w:ascii="Times New Roman" w:hAnsi="Times New Roman" w:eastAsia="宋体"/>
          <w:sz w:val="20"/>
          <w:vertAlign w:val="superscript"/>
        </w:rPr>
      </w:r>
      <w:r/>
      <w:r/>
    </w:p>
    <w:p>
      <w:pPr>
        <w:pBdr/>
        <w:spacing/>
        <w:ind/>
        <w:rPr/>
      </w:pPr>
      <w:r>
        <w:rPr>
          <w:rFonts w:ascii="Arial" w:hAnsi="Arial" w:eastAsia="黑体"/>
          <w:b/>
          <w:sz w:val="32"/>
        </w:rPr>
        <w:t xml:space="preserve">1.2 国内外研究现状</w:t>
      </w:r>
      <w:r/>
    </w:p>
    <w:p>
      <w:pPr>
        <w:pBdr/>
        <w:spacing/>
        <w:ind/>
        <w:rPr/>
      </w:pPr>
      <w:r>
        <w:rPr>
          <w:rFonts w:ascii="Arial" w:hAnsi="Arial" w:eastAsia="黑体"/>
          <w:b/>
          <w:sz w:val="30"/>
        </w:rPr>
        <w:t>1.2.1 反诈领域智能检测与预警技术研究现状</w:t>
      </w:r>
      <w:r/>
    </w:p>
    <w:p>
      <w:pPr>
        <w:pBdr/>
        <w:spacing w:line="360" w:lineRule="auto"/>
        <w:ind w:firstLine="480"/>
        <w:jc w:val="both"/>
        <w:rPr/>
      </w:pPr>
      <w:r>
        <w:rPr>
          <w:rFonts w:ascii="Times New Roman" w:hAnsi="Times New Roman" w:eastAsia="宋体"/>
          <w:sz w:val="24"/>
        </w:rPr>
        <w:t xml:space="preserve">早期防御体系大多基于经典机器学习管线。此类方法重度依赖专家经验构造的统计特征——诸如通信频率分布、异常转账拓扑等，进而输出风险评分</w:t>
      </w:r>
      <w:r>
        <w:rPr>
          <w:rFonts w:ascii="Times New Roman" w:hAnsi="Times New Roman" w:eastAsia="宋体"/>
          <w:sz w:val="20"/>
          <w:vertAlign w:val="superscript"/>
        </w:rPr>
        <w:t xml:space="preserve">[26]</w:t>
      </w:r>
      <w:r>
        <w:rPr>
          <w:rFonts w:ascii="Times New Roman" w:hAnsi="Times New Roman" w:eastAsia="宋体"/>
          <w:sz w:val="24"/>
        </w:rPr>
        <w:t xml:space="preserve">。部分研究亦引入浅层神经网络来拟合金融时间序列中的隐式异常</w:t>
      </w:r>
      <w:r>
        <w:rPr>
          <w:rFonts w:ascii="Times New Roman" w:hAnsi="Times New Roman" w:eastAsia="宋体"/>
          <w:sz w:val="20"/>
          <w:vertAlign w:val="superscript"/>
        </w:rPr>
        <w:t xml:space="preserve">[24]</w:t>
      </w:r>
      <w:r>
        <w:rPr>
          <w:rFonts w:ascii="Times New Roman" w:hAnsi="Times New Roman" w:eastAsia="宋体"/>
          <w:sz w:val="24"/>
        </w:rPr>
        <w:t xml:space="preserve">。在相对静态的对抗周期内，这些方案具备一定区分度。但随着黑产作案逻辑的动态演化，固定特征库的泛化瓶颈暴露无遗。近两年来，预训练范式被引入以强化非结构化文本的处理效率。例如，利用MobileBERT蒸馏的轻量级检测头已能在毫秒级完成推断</w:t>
      </w:r>
      <w:r>
        <w:rPr>
          <w:rFonts w:ascii="Times New Roman" w:hAnsi="Times New Roman" w:eastAsia="宋体"/>
          <w:sz w:val="20"/>
          <w:vertAlign w:val="superscript"/>
        </w:rPr>
        <w:t xml:space="preserve">[14]</w:t>
      </w:r>
      <w:r>
        <w:rPr>
          <w:rFonts w:ascii="Times New Roman" w:hAnsi="Times New Roman" w:eastAsia="宋体"/>
          <w:sz w:val="24"/>
        </w:rPr>
        <w:t xml:space="preserve">。尽管亦有研究构建了PhishAgent等复合感知架构来拓宽特征边界</w:t>
      </w:r>
      <w:r>
        <w:rPr>
          <w:rFonts w:ascii="Times New Roman" w:hAnsi="Times New Roman" w:eastAsia="宋体"/>
          <w:sz w:val="20"/>
          <w:vertAlign w:val="superscript"/>
        </w:rPr>
        <w:t xml:space="preserve">[13]</w:t>
      </w:r>
      <w:r>
        <w:t xml:space="preserve">，但其伴随的浮点运算开销严重挤占了端侧设备的常驻内存资源。这种高功耗状态严重阻碍了其在移动终端的静默部署。</w:t>
      </w:r>
      <w:r/>
    </w:p>
    <w:p>
      <w:pPr>
        <w:pBdr/>
        <w:spacing/>
        <w:ind/>
        <w:rPr/>
      </w:pPr>
      <w:r>
        <w:rPr>
          <w:rFonts w:ascii="Arial" w:hAnsi="Arial" w:eastAsia="黑体"/>
          <w:b/>
          <w:sz w:val="30"/>
        </w:rPr>
        <w:t xml:space="preserve">1.2.2 大语言模型与多智能体协同技术（MAS）进展</w:t>
      </w:r>
      <w:r/>
    </w:p>
    <w:p>
      <w:pPr>
        <w:pBdr/>
        <w:spacing w:line="360" w:lineRule="auto"/>
        <w:ind w:firstLine="480"/>
        <w:jc w:val="both"/>
        <w:rPr/>
      </w:pPr>
      <w:r>
        <w:rPr>
          <w:rFonts w:ascii="Times New Roman" w:hAnsi="Times New Roman" w:eastAsia="宋体"/>
          <w:sz w:val="24"/>
        </w:rPr>
        <w:t xml:space="preserve">基础模型的能力跃升直接催生了多智能体系统（MAS）在复杂工程流中的复兴。诸如AutoGen</w:t>
      </w:r>
      <w:r>
        <w:rPr>
          <w:rFonts w:ascii="Times New Roman" w:hAnsi="Times New Roman" w:eastAsia="宋体"/>
          <w:sz w:val="20"/>
          <w:vertAlign w:val="superscript"/>
        </w:rPr>
        <w:t xml:space="preserve">[01]</w:t>
      </w:r>
      <w:r>
        <w:rPr>
          <w:rFonts w:ascii="Times New Roman" w:hAnsi="Times New Roman" w:eastAsia="宋体"/>
          <w:sz w:val="24"/>
        </w:rPr>
        <w:t xml:space="preserve">、CAMEL</w:t>
      </w:r>
      <w:r>
        <w:rPr>
          <w:rFonts w:ascii="Times New Roman" w:hAnsi="Times New Roman" w:eastAsia="宋体"/>
          <w:sz w:val="20"/>
          <w:vertAlign w:val="superscript"/>
        </w:rPr>
        <w:t xml:space="preserve">[03]</w:t>
      </w:r>
      <w:r>
        <w:rPr>
          <w:rFonts w:ascii="Times New Roman" w:hAnsi="Times New Roman" w:eastAsia="宋体"/>
          <w:sz w:val="24"/>
        </w:rPr>
        <w:t xml:space="preserve">、ChatDev</w:t>
      </w:r>
      <w:r>
        <w:rPr>
          <w:rFonts w:ascii="Times New Roman" w:hAnsi="Times New Roman" w:eastAsia="宋体"/>
          <w:sz w:val="20"/>
          <w:vertAlign w:val="superscript"/>
        </w:rPr>
        <w:t xml:space="preserve">[04]</w:t>
      </w:r>
      <w:r>
        <w:rPr>
          <w:rFonts w:ascii="Times New Roman" w:hAnsi="Times New Roman" w:eastAsia="宋体"/>
          <w:sz w:val="24"/>
        </w:rPr>
        <w:t xml:space="preserve">及MetaGPT</w:t>
      </w:r>
      <w:r>
        <w:rPr>
          <w:rFonts w:ascii="Times New Roman" w:hAnsi="Times New Roman" w:eastAsia="宋体"/>
          <w:sz w:val="20"/>
          <w:vertAlign w:val="superscript"/>
        </w:rPr>
        <w:t xml:space="preserve">[10]</w:t>
      </w:r>
      <w:r>
        <w:rPr>
          <w:rFonts w:ascii="Times New Roman" w:hAnsi="Times New Roman" w:eastAsia="宋体"/>
          <w:sz w:val="24"/>
        </w:rPr>
        <w:t xml:space="preserve">等开源框架，通过固化通信协议与角色SOP，拔高了异构Agent群组的并发执行效能。实验数据表明，多节点间的交叉验证与消息路由，确实能在局部平滑单体模型的概率分布误差</w:t>
      </w:r>
      <w:r>
        <w:rPr>
          <w:rFonts w:ascii="Times New Roman" w:hAnsi="Times New Roman" w:eastAsia="宋体"/>
          <w:sz w:val="20"/>
          <w:vertAlign w:val="superscript"/>
        </w:rPr>
        <w:t xml:space="preserve">[27]</w:t>
      </w:r>
      <w:r>
        <w:rPr>
          <w:rFonts w:ascii="Times New Roman" w:hAnsi="Times New Roman" w:eastAsia="宋体"/>
          <w:sz w:val="24"/>
        </w:rPr>
        <w:t xml:space="preserve">。而在多智能体强化学习（MARL）视域下，去中心化策略进一步提升了节点在非平稳环境中的策略鲁棒性</w:t>
      </w:r>
      <w:r>
        <w:rPr>
          <w:rFonts w:ascii="Times New Roman" w:hAnsi="Times New Roman" w:eastAsia="宋体"/>
          <w:sz w:val="20"/>
          <w:vertAlign w:val="superscript"/>
        </w:rPr>
        <w:t xml:space="preserve">[28]</w:t>
      </w:r>
      <w:r>
        <w:t xml:space="preserve">。然而，现有MAS架构大多预设了底座模型具备强大的零样本指令跟随能力。当运行环境被压缩至4B级小模型且算力受限时，如何依靠确定性状态机来防止节点通信雪崩，相关文献中尚无闭环方案。</w:t>
      </w:r>
      <w:r/>
    </w:p>
    <w:p>
      <w:pPr>
        <w:pBdr/>
        <w:spacing/>
        <w:ind/>
        <w:rPr/>
      </w:pPr>
      <w:r>
        <w:rPr>
          <w:rFonts w:ascii="Arial" w:hAnsi="Arial" w:eastAsia="黑体"/>
          <w:b/>
          <w:sz w:val="30"/>
        </w:rPr>
        <w:t xml:space="preserve">1.2.3 检索增强生成（RAG）与知识图谱的融合应用现状</w:t>
      </w:r>
      <w:r/>
    </w:p>
    <w:p>
      <w:pPr>
        <w:pBdr/>
        <w:spacing w:line="360" w:lineRule="auto"/>
        <w:ind w:firstLine="480"/>
        <w:jc w:val="both"/>
        <w:rPr/>
      </w:pPr>
      <w:r>
        <w:rPr>
          <w:rFonts w:ascii="Times New Roman" w:hAnsi="Times New Roman" w:eastAsia="宋体"/>
          <w:sz w:val="24"/>
        </w:rPr>
        <w:t>检索增强生成（RAG）已被业界广泛认可为抑制大型模型发散的关键组件[17]。随着下游任务对事实逻辑的容错空间收窄，纯文本向量库的检索粒度已逐渐难以满足需求。这促使研究者尝试将知识图谱（KG）的拓扑结构融入检索算子，进而演化出HybGRAG等混合召回范式[08]。与传统的内积相似度计算不同，图增强方案能够沿实体关系边执行多跳溯源，从而精准定位高信息熵的上下文[23]。在网络安全领域，部分团队利用超复值网络（如ConvQR）来修补残缺的诈骗特征图谱[21]。此外，Self-RAG通过引入后置评价器，为生成结果提供了重试机制[19]。然而，聚焦于边缘计算节点，如何在显存受限的约束下，实现图谱遍历与动态纠错的低时延融合，依然是当前工程应用中亟待突破的瓶颈。</w:t>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
    </w:p>
    <w:p>
      <w:pPr>
        <w:pBdr/>
        <w:spacing/>
        <w:ind/>
        <w:rPr/>
      </w:pPr>
      <w:r>
        <w:rPr>
          <w:rFonts w:ascii="Arial" w:hAnsi="Arial" w:eastAsia="黑体"/>
          <w:b/>
          <w:sz w:val="32"/>
        </w:rPr>
        <w:t xml:space="preserve">1.3 本文主要研究内容与章节安排</w:t>
      </w:r>
      <w:r/>
    </w:p>
    <w:p>
      <w:pPr>
        <w:pBdr/>
        <w:spacing/>
        <w:ind/>
        <w:rPr/>
      </w:pPr>
      <w:r>
        <w:rPr>
          <w:rFonts w:ascii="Arial" w:hAnsi="Arial" w:eastAsia="黑体"/>
          <w:b/>
          <w:sz w:val="30"/>
        </w:rPr>
        <w:t>1.3.1 研究目标及核心内容</w:t>
      </w:r>
      <w:r/>
    </w:p>
    <w:p>
      <w:pPr>
        <w:pBdr/>
        <w:spacing w:line="360" w:lineRule="auto"/>
        <w:ind w:firstLine="480"/>
        <w:jc w:val="both"/>
        <w:rPr/>
      </w:pPr>
      <w:r>
        <w:rPr>
          <w:rFonts w:ascii="Times New Roman" w:hAnsi="Times New Roman" w:eastAsia="宋体"/>
          <w:sz w:val="24"/>
        </w:rPr>
        <w:t xml:space="preserve">本文旨在极端隐私约束与贫算力环境下，设计一种兼顾吞吐量与精度的反诈防御拓扑。具体实施路径如下：首先，将臃肿的端到端研判任务进行细粒度解耦，卸载单节点的内存压力。其次，部署基于JSON Schema与正则表达式的神经符号隔离层，对异常张量输出执行硬性熔断，防止格式雪崩。此外，利用Neo4j固化涉诈本体库。在GraphRAG框架下执行图文双路召回，向模型注入动态事实锚点</w:t>
      </w:r>
      <w:r>
        <w:rPr>
          <w:rFonts w:ascii="Times New Roman" w:hAnsi="Times New Roman" w:eastAsia="宋体"/>
          <w:sz w:val="20"/>
          <w:vertAlign w:val="superscript"/>
        </w:rPr>
        <w:t xml:space="preserve">[09]</w:t>
      </w:r>
      <w:r>
        <w:rPr>
          <w:rFonts w:ascii="Times New Roman" w:hAnsi="Times New Roman" w:eastAsia="宋体"/>
          <w:sz w:val="24"/>
        </w:rPr>
        <w:t xml:space="preserve">。最终，在系统流转层嵌入ReAct状态机机制。借由局部自反思与异常捕获，在推理生命周期内完成逻辑死锁的动态自愈</w:t>
      </w:r>
      <w:r>
        <w:rPr>
          <w:rFonts w:ascii="Times New Roman" w:hAnsi="Times New Roman" w:eastAsia="宋体"/>
          <w:sz w:val="20"/>
          <w:vertAlign w:val="superscript"/>
        </w:rPr>
        <w:t xml:space="preserve">[16]</w:t>
      </w:r>
      <w:r>
        <w:t xml:space="preserve">。</w:t>
      </w:r>
      <w:r/>
    </w:p>
    <w:p>
      <w:pPr>
        <w:pBdr/>
        <w:spacing/>
        <w:ind/>
        <w:rPr/>
      </w:pPr>
      <w:r>
        <w:rPr>
          <w:rFonts w:ascii="Arial" w:hAnsi="Arial" w:eastAsia="黑体"/>
          <w:b/>
          <w:sz w:val="30"/>
        </w:rPr>
        <w:t>1.3.2 论文结构及章节安排</w:t>
      </w:r>
      <w:r/>
    </w:p>
    <w:p>
      <w:pPr>
        <w:pBdr/>
        <w:spacing w:line="360" w:lineRule="auto"/>
        <w:ind w:firstLine="480"/>
        <w:jc w:val="both"/>
        <w:rPr/>
      </w:pPr>
      <w:r>
        <w:t xml:space="preserve">本文整体脉络划分为六个核心章节。第1章廓清研究边界并抛出系统性挑战；第2章对低秩量化、智能体协同及图谱增强等前置技术进行工程化溯源；第3章剥丝抽茧地剖析多Agent调度系统与补偿架构的底层逻辑；第4章聚焦算法侧的落地细节，涵盖图遍历实现与状态机闭环控制；第5章通过消融与横评实验，对系统在真实数据集上的收敛性进行基准测试；第6章归纳核心技术资产，并框定后续架构的迭代演进坐标。</w:t>
      </w:r>
      <w:r/>
    </w:p>
    <w:p>
      <w:pPr>
        <w:pBdr/>
        <w:spacing/>
        <w:ind/>
        <w:jc w:val="center"/>
        <w:rPr/>
      </w:pPr>
      <w:r>
        <w:rPr>
          <w:rFonts w:ascii="Arial" w:hAnsi="Arial" w:eastAsia="黑体"/>
          <w:b/>
          <w:sz w:val="44"/>
        </w:rPr>
        <w:t xml:space="preserve">第2章 相关技术综述</w:t>
      </w:r>
      <w:r/>
    </w:p>
    <w:p>
      <w:pPr>
        <w:pBdr/>
        <w:spacing/>
        <w:ind/>
        <w:rPr/>
      </w:pPr>
      <w:r>
        <w:rPr>
          <w:rFonts w:ascii="Arial" w:hAnsi="Arial" w:eastAsia="黑体"/>
          <w:b/>
          <w:sz w:val="32"/>
        </w:rPr>
        <w:t xml:space="preserve">2.1 轻量级大语言模型与量化压缩技术</w:t>
      </w:r>
      <w:r/>
    </w:p>
    <w:p>
      <w:pPr>
        <w:pBdr/>
        <w:spacing w:line="360" w:lineRule="auto"/>
        <w:ind w:firstLine="480"/>
        <w:jc w:val="both"/>
        <w:rPr/>
      </w:pPr>
      <w:r>
        <w:rPr>
          <w:rFonts w:ascii="Times New Roman" w:hAnsi="Times New Roman" w:eastAsia="宋体"/>
          <w:sz w:val="24"/>
        </w:rPr>
        <w:t xml:space="preserve">在端侧硬件壁垒与数据主权的双重挤压下，参数量被裁剪至4B区间的轻量级基座（如Phi-3</w:t>
      </w:r>
      <w:r>
        <w:rPr>
          <w:rFonts w:ascii="Times New Roman" w:hAnsi="Times New Roman" w:eastAsia="宋体"/>
          <w:sz w:val="20"/>
          <w:vertAlign w:val="superscript"/>
        </w:rPr>
        <w:t xml:space="preserve">[12]</w:t>
      </w:r>
      <w:r>
        <w:rPr>
          <w:rFonts w:ascii="Times New Roman" w:hAnsi="Times New Roman" w:eastAsia="宋体"/>
          <w:sz w:val="24"/>
        </w:rPr>
        <w:t xml:space="preserve">或Gemma</w:t>
      </w:r>
      <w:r>
        <w:rPr>
          <w:rFonts w:ascii="Times New Roman" w:hAnsi="Times New Roman" w:eastAsia="宋体"/>
          <w:sz w:val="20"/>
          <w:vertAlign w:val="superscript"/>
        </w:rPr>
        <w:t xml:space="preserve">[07]</w:t>
      </w:r>
      <w:r>
        <w:rPr>
          <w:rFonts w:ascii="Times New Roman" w:hAnsi="Times New Roman" w:eastAsia="宋体"/>
          <w:sz w:val="24"/>
        </w:rPr>
        <w:t xml:space="preserve">）正成为边缘智能的主流基带。但物理参数的瘦身并未完全解决I/O瓶颈；在其加载与推理期间，瞬时显存峰值依然会造成内存溢出（OOM）。为此，权重量化构成了不可或缺的工程前置操作。激活感知权重量化（AWQ）算法通过观测激活分布，对影响输出方差的显著权重施加高位宽保留。这种非对称压缩策略将量化带来的精度崩塌压降至最低</w:t>
      </w:r>
      <w:r>
        <w:rPr>
          <w:rFonts w:ascii="Times New Roman" w:hAnsi="Times New Roman" w:eastAsia="宋体"/>
          <w:sz w:val="20"/>
          <w:vertAlign w:val="superscript"/>
        </w:rPr>
        <w:t xml:space="preserve">[02]</w:t>
      </w:r>
      <w:r>
        <w:rPr>
          <w:rFonts w:ascii="Times New Roman" w:hAnsi="Times New Roman" w:eastAsia="宋体"/>
          <w:sz w:val="24"/>
        </w:rPr>
        <w:t xml:space="preserve">。在此基础上，QLoRA借助NF4数据类型与分页优化</w:t>
      </w:r>
      <w:r>
        <w:rPr>
          <w:rFonts w:ascii="Times New Roman" w:hAnsi="Times New Roman" w:eastAsia="宋体"/>
          <w:sz w:val="20"/>
          <w:vertAlign w:val="superscript"/>
        </w:rPr>
        <w:t xml:space="preserve">[15]</w:t>
      </w:r>
      <w:r>
        <w:t xml:space="preserve">，将微调成本下放到消费级显卡区间。二者的技术融合，直接铲平了反诈模型在受限硬件上的部署门槛。</w:t>
      </w:r>
      <w:r/>
    </w:p>
    <w:p>
      <w:pPr>
        <w:pBdr/>
        <w:spacing/>
        <w:ind/>
        <w:rPr/>
      </w:pPr>
      <w:r>
        <w:rPr>
          <w:rFonts w:ascii="Arial" w:hAnsi="Arial" w:eastAsia="黑体"/>
          <w:b/>
          <w:sz w:val="32"/>
        </w:rPr>
        <w:t xml:space="preserve">2.2 多智能体协同计算框架</w:t>
      </w:r>
      <w:r/>
    </w:p>
    <w:p>
      <w:pPr>
        <w:pBdr/>
        <w:spacing w:line="360" w:lineRule="auto"/>
        <w:ind w:firstLine="480"/>
        <w:jc w:val="both"/>
        <w:rPr/>
      </w:pPr>
      <w:r>
        <w:rPr>
          <w:rFonts w:ascii="Times New Roman" w:hAnsi="Times New Roman" w:eastAsia="宋体"/>
          <w:sz w:val="24"/>
        </w:rPr>
        <w:t xml:space="preserve">将复杂业务流映射为多智能体系统（MAS）的拓扑结构，为化解长链路任务提供了新的解空间。若以控制论视角审视，智能体集群可抽象为在有向图上执行博弈或消息同步的离散节点</w:t>
      </w:r>
      <w:r>
        <w:rPr>
          <w:rFonts w:ascii="Times New Roman" w:hAnsi="Times New Roman" w:eastAsia="宋体"/>
          <w:sz w:val="20"/>
          <w:vertAlign w:val="superscript"/>
        </w:rPr>
        <w:t xml:space="preserve">[22]</w:t>
      </w:r>
      <w:r>
        <w:rPr>
          <w:rFonts w:ascii="Times New Roman" w:hAnsi="Times New Roman" w:eastAsia="宋体"/>
          <w:sz w:val="24"/>
        </w:rPr>
        <w:t xml:space="preserve">。工程实现层面，AutoGen通过标准化代理接口屏蔽了底层通信复杂度</w:t>
      </w:r>
      <w:r>
        <w:rPr>
          <w:rFonts w:ascii="Times New Roman" w:hAnsi="Times New Roman" w:eastAsia="宋体"/>
          <w:sz w:val="20"/>
          <w:vertAlign w:val="superscript"/>
        </w:rPr>
        <w:t xml:space="preserve">[01]</w:t>
      </w:r>
      <w:r>
        <w:rPr>
          <w:rFonts w:ascii="Times New Roman" w:hAnsi="Times New Roman" w:eastAsia="宋体"/>
          <w:sz w:val="24"/>
        </w:rPr>
        <w:t xml:space="preserve">；CAMEL引入模拟人设驱动的自洽对话机制</w:t>
      </w:r>
      <w:r>
        <w:rPr>
          <w:rFonts w:ascii="Times New Roman" w:hAnsi="Times New Roman" w:eastAsia="宋体"/>
          <w:sz w:val="20"/>
          <w:vertAlign w:val="superscript"/>
        </w:rPr>
        <w:t xml:space="preserve">[03]</w:t>
      </w:r>
      <w:r>
        <w:rPr>
          <w:rFonts w:ascii="Times New Roman" w:hAnsi="Times New Roman" w:eastAsia="宋体"/>
          <w:sz w:val="24"/>
        </w:rPr>
        <w:t xml:space="preserve">；MetaGPT则更进一步，将软件工程领域的SOP（标准作业程序）转译为元指令，强制约束各个专家节点的输入输出契约</w:t>
      </w:r>
      <w:r>
        <w:rPr>
          <w:rFonts w:ascii="Times New Roman" w:hAnsi="Times New Roman" w:eastAsia="宋体"/>
          <w:sz w:val="20"/>
          <w:vertAlign w:val="superscript"/>
        </w:rPr>
        <w:t xml:space="preserve">[10]</w:t>
      </w:r>
      <w:r>
        <w:t xml:space="preserve">。这种强规范约束有效过滤了冗余的旁路信息。然而，当前生态过度依赖万亿参数模型作为“系统内核”。当底层替换为4B级小模型时，其微弱的指令跟随能力极易导致通信链路的死锁。探索如何借助硬编码状态机来代偿其决策短板，属于当前MAS研究的盲区。</w:t>
      </w:r>
      <w:r/>
    </w:p>
    <w:p>
      <w:pPr>
        <w:pBdr/>
        <w:spacing/>
        <w:ind/>
        <w:rPr/>
      </w:pPr>
      <w:r>
        <w:rPr>
          <w:rFonts w:ascii="Arial" w:hAnsi="Arial" w:eastAsia="黑体"/>
          <w:b/>
          <w:sz w:val="32"/>
        </w:rPr>
        <w:t xml:space="preserve">2.3 检索增强生成与图谱推理技术</w:t>
      </w:r>
      <w:r/>
    </w:p>
    <w:p>
      <w:pPr>
        <w:pBdr/>
        <w:spacing w:line="360" w:lineRule="auto"/>
        <w:ind w:firstLine="480"/>
        <w:jc w:val="both"/>
        <w:rPr/>
      </w:pPr>
      <w:r>
        <w:rPr>
          <w:rFonts w:ascii="Times New Roman" w:hAnsi="Times New Roman" w:eastAsia="宋体"/>
          <w:sz w:val="24"/>
        </w:rPr>
        <w:t xml:space="preserve">检索增强生成（RAG）通过旁路注入外部语料，对模型自回归过程中的偏差进行强制干预，目前已成为修复知识幻觉的工业界标配</w:t>
      </w:r>
      <w:r>
        <w:rPr>
          <w:rFonts w:ascii="Times New Roman" w:hAnsi="Times New Roman" w:eastAsia="宋体"/>
          <w:sz w:val="20"/>
          <w:vertAlign w:val="superscript"/>
        </w:rPr>
        <w:t xml:space="preserve">[17]</w:t>
      </w:r>
      <w:r>
        <w:rPr>
          <w:rFonts w:ascii="Times New Roman" w:hAnsi="Times New Roman" w:eastAsia="宋体"/>
          <w:sz w:val="24"/>
        </w:rPr>
        <w:t xml:space="preserve">。大量实测数据印证了其在开放域问答中的稳健性</w:t>
      </w:r>
      <w:r>
        <w:rPr>
          <w:rFonts w:ascii="Times New Roman" w:hAnsi="Times New Roman" w:eastAsia="宋体"/>
          <w:sz w:val="20"/>
          <w:vertAlign w:val="superscript"/>
        </w:rPr>
        <w:t xml:space="preserve">[31]</w:t>
      </w:r>
      <w:r>
        <w:rPr>
          <w:rFonts w:ascii="Times New Roman" w:hAnsi="Times New Roman" w:eastAsia="宋体"/>
          <w:sz w:val="24"/>
        </w:rPr>
        <w:t xml:space="preserve">。但面对诈骗团伙刻意构造的混淆文本时，纯量化相似度检索极易被局部特征欺骗，丧失对深层线索的捕获能力</w:t>
      </w:r>
      <w:r>
        <w:rPr>
          <w:rFonts w:ascii="Times New Roman" w:hAnsi="Times New Roman" w:eastAsia="宋体"/>
          <w:sz w:val="20"/>
          <w:vertAlign w:val="superscript"/>
        </w:rPr>
        <w:t xml:space="preserve">[23]</w:t>
      </w:r>
      <w:r>
        <w:rPr>
          <w:rFonts w:ascii="Times New Roman" w:hAnsi="Times New Roman" w:eastAsia="宋体"/>
          <w:sz w:val="24"/>
        </w:rPr>
        <w:t xml:space="preserve">。知识图谱问答（KGQA）的下沉应用弥补了这一短板。图拓扑提供了确定性的实体游走路径</w:t>
      </w:r>
      <w:r>
        <w:rPr>
          <w:rFonts w:ascii="Times New Roman" w:hAnsi="Times New Roman" w:eastAsia="宋体"/>
          <w:sz w:val="20"/>
          <w:vertAlign w:val="superscript"/>
        </w:rPr>
        <w:t xml:space="preserve">[35]</w:t>
      </w:r>
      <w:r>
        <w:rPr>
          <w:rFonts w:ascii="Times New Roman" w:hAnsi="Times New Roman" w:eastAsia="宋体"/>
          <w:sz w:val="24"/>
        </w:rPr>
        <w:t xml:space="preserve">，这使推断过程具备了白盒属性。将KG嵌入RAG的召回管线后，查询请求能够锚定核心实体并辐射出完整的关联子图</w:t>
      </w:r>
      <w:r>
        <w:rPr>
          <w:rFonts w:ascii="Times New Roman" w:hAnsi="Times New Roman" w:eastAsia="宋体"/>
          <w:sz w:val="20"/>
          <w:vertAlign w:val="superscript"/>
        </w:rPr>
        <w:t xml:space="preserve">[09]</w:t>
      </w:r>
      <w:r>
        <w:rPr>
          <w:rFonts w:ascii="Times New Roman" w:hAnsi="Times New Roman" w:eastAsia="宋体"/>
          <w:sz w:val="24"/>
        </w:rPr>
        <w:t xml:space="preserve">。最终输入到解码器的不再是离散词袋，而是强逻辑绑定的三元组序列</w:t>
      </w:r>
      <w:r>
        <w:rPr>
          <w:rFonts w:ascii="Times New Roman" w:hAnsi="Times New Roman" w:eastAsia="宋体"/>
          <w:sz w:val="20"/>
          <w:vertAlign w:val="superscript"/>
        </w:rPr>
        <w:t xml:space="preserve">[08]</w:t>
      </w:r>
      <w:r>
        <w:t xml:space="preserve">。这种用符号逻辑为神经网络“打补丁”的架构，为构建抗干扰的端侧反诈系统奠定了数据基座。</w:t>
      </w:r>
      <w:r/>
    </w:p>
    <w:p>
      <w:pPr>
        <w:pBdr/>
        <w:spacing/>
        <w:ind/>
        <w:jc w:val="center"/>
        <w:rPr/>
      </w:pPr>
      <w:r>
        <w:rPr>
          <w:rFonts w:ascii="Arial" w:hAnsi="Arial" w:eastAsia="黑体"/>
          <w:b/>
          <w:sz w:val="44"/>
        </w:rPr>
        <w:t xml:space="preserve">第3章 基于小模型的反诈多 Agent 协同系统架构设计</w:t>
      </w:r>
      <w:r/>
    </w:p>
    <w:p>
      <w:pPr>
        <w:pBdr/>
        <w:spacing/>
        <w:ind/>
        <w:rPr/>
      </w:pPr>
      <w:r>
        <w:rPr>
          <w:rFonts w:ascii="Arial" w:hAnsi="Arial" w:eastAsia="黑体"/>
          <w:b/>
          <w:sz w:val="32"/>
        </w:rPr>
        <w:t xml:space="preserve">3.1 系统整体架构与“工程补偿”设计理念</w:t>
      </w:r>
      <w:r/>
    </w:p>
    <w:p>
      <w:pPr>
        <w:pBdr/>
        <w:spacing/>
        <w:ind/>
        <w:rPr/>
      </w:pPr>
      <w:r>
        <w:rPr>
          <w:rFonts w:ascii="Arial" w:hAnsi="Arial" w:eastAsia="黑体"/>
          <w:b/>
          <w:sz w:val="30"/>
        </w:rPr>
        <w:t xml:space="preserve">3.1.1 “工程架构补偿模型智力”的宏观设计范式被确立</w:t>
      </w:r>
      <w:r/>
    </w:p>
    <w:p>
      <w:pPr>
        <w:pBdr/>
        <w:spacing w:line="360" w:lineRule="auto"/>
        <w:ind w:firstLine="480"/>
        <w:jc w:val="both"/>
        <w:rPr/>
      </w:pPr>
      <w:r>
        <w:rPr>
          <w:rFonts w:ascii="Times New Roman" w:hAnsi="Times New Roman" w:eastAsia="宋体"/>
          <w:sz w:val="24"/>
        </w:rPr>
        <w:t xml:space="preserve">针对电信网络诈骗的案情拆解，通常面对的是高信噪比、时间线交织及多主体缠绕的非标准长文本</w:t>
      </w:r>
      <w:r>
        <w:rPr>
          <w:rFonts w:ascii="Times New Roman" w:hAnsi="Times New Roman" w:eastAsia="宋体"/>
          <w:sz w:val="20"/>
          <w:vertAlign w:val="superscript"/>
        </w:rPr>
        <w:t xml:space="preserve">[06]</w:t>
      </w:r>
      <w:r>
        <w:t xml:space="preserve">。强行将此类全景数据灌入4B级模型的上下文窗口，不可避免</w:t>
      </w:r>
      <w:r>
        <w:t xml:space="preserve">地会触发注意力权重的坍缩，导致输出游离于业务逻辑之外。基于算力恒定且无法依赖外部增援的工程现状，本研究提出“工程架构补偿模型智力”的防御范式。摒弃小模型“端到端黑盒生成”的不切实际幻想，转而将其剥离为仅负责浅层映射的文本处理模块。通过系统层面的流线拆解、I/O级严格序列化控制，以及高度确定性的有向图通信，我们为脆弱的神经网络搭建了坚固的“逻辑脚手架”。由此，原先自由无序的概率漫游被死锁在硬性规则网络内。模型不再需要完成超维度的全局规划，只需专注单点执行，从而在零参数膨胀的前提下，输出逼近高阶系统的可用结果。</w:t>
      </w:r>
      <w:r/>
    </w:p>
    <w:p>
      <w:pPr>
        <w:pBdr/>
        <w:spacing/>
        <w:ind/>
        <w:rPr/>
      </w:pPr>
      <w:r>
        <w:rPr>
          <w:rFonts w:ascii="Arial" w:hAnsi="Arial" w:eastAsia="黑体"/>
          <w:b/>
          <w:sz w:val="30"/>
        </w:rPr>
        <w:t xml:space="preserve">3.1.2 涵盖感知、规划、执行、记忆的四层系统架构被构建</w:t>
      </w:r>
      <w:r/>
    </w:p>
    <w:p>
      <w:pPr>
        <w:pBdr/>
        <w:spacing w:line="360" w:lineRule="auto"/>
        <w:ind w:firstLine="480"/>
        <w:jc w:val="both"/>
        <w:rPr/>
      </w:pPr>
      <w:r>
        <w:rPr>
          <w:rFonts w:ascii="Times New Roman" w:hAnsi="Times New Roman" w:eastAsia="宋体"/>
          <w:sz w:val="24"/>
        </w:rPr>
        <w:t xml:space="preserve">贯彻上述解耦理念，系统架构被横向切分为四层解耦空间：感知、规划、执行与记忆层。最前端的感知层充当缓冲区，对高频、异构的报警工单或对话流执行降噪与词法清洗。居于核心的规划层摒弃了LLM自发调度的危险尝试，全权委托给确定性有向无环图（DAG）结合事件总线管理任务队列。在此层，融合ReAct范式的外挂循环</w:t>
      </w:r>
      <w:r>
        <w:rPr>
          <w:rFonts w:ascii="Times New Roman" w:hAnsi="Times New Roman" w:eastAsia="宋体"/>
          <w:sz w:val="20"/>
          <w:vertAlign w:val="superscript"/>
        </w:rPr>
        <w:t xml:space="preserve">[16]</w:t>
      </w:r>
      <w:r>
        <w:t xml:space="preserve">对运行时状态进行轮询，一旦探针捕获异常状态字，即刻挂起当前进程并执行重路由。下方的执行层封装了高度复用的原子算子簇，涵盖正则匹配、图遍历与外部组件桥接，供上层Agent以RPC形式触发。底座记忆层不仅持有Neo4j图谱的持久化事实，还负责固化历史调用的状态快照。这使得即便发生跨轮次的通信挂起，现场上下文亦能被无损重构。</w:t>
      </w:r>
      <w:r/>
    </w:p>
    <w:p>
      <w:pPr>
        <w:pBdr/>
        <w:spacing/>
        <w:ind/>
        <w:rPr/>
      </w:pPr>
      <w:r>
        <w:rPr>
          <w:rFonts w:ascii="Arial" w:hAnsi="Arial" w:eastAsia="黑体"/>
          <w:b/>
          <w:sz w:val="32"/>
        </w:rPr>
        <w:t xml:space="preserve">3.2 任务原子化解耦与 Agent 职责隔离</w:t>
      </w:r>
      <w:r/>
    </w:p>
    <w:p>
      <w:pPr>
        <w:pBdr/>
        <w:spacing/>
        <w:ind/>
        <w:rPr/>
      </w:pPr>
      <w:r>
        <w:rPr>
          <w:rFonts w:ascii="Arial" w:hAnsi="Arial" w:eastAsia="黑体"/>
          <w:b/>
          <w:sz w:val="30"/>
        </w:rPr>
        <w:t xml:space="preserve">3.2.1 反诈长链路复杂推理任务的模块化与原子化拆解</w:t>
      </w:r>
      <w:r/>
    </w:p>
    <w:p>
      <w:pPr>
        <w:pBdr/>
        <w:spacing w:line="360" w:lineRule="auto"/>
        <w:ind w:firstLine="480"/>
        <w:jc w:val="both"/>
        <w:rPr/>
      </w:pPr>
      <w:r>
        <w:rPr>
          <w:rFonts w:ascii="Times New Roman" w:hAnsi="Times New Roman" w:eastAsia="宋体"/>
          <w:sz w:val="24"/>
        </w:rPr>
        <w:t>电信欺诈溯源并非单一决策行为，而是一条包含意图拆解、特征切片、关系投射直至最终评级的串行流水线。若将此类高负载任务完全交由单个4B模型承担，不可避免地会导致长程信息截断及误差级联放大。为规避这一系统性风险，本文引入流水线（Pipeline）设计模式[04]，对巨石型研判流程实施解耦。整条链路被重构为若干相互隔离的原子计算单元，各单元仅需声明其订阅的上下文格式，并在推断完成后推送固定结构的载荷。这种基于强契约的拆分不仅有效降低了单个计算节点的峰值算力需求，更为关键的是，它为在各级节点间嵌入旁路校验与断点续传机制预留了必要的操作粒度。</w:t>
      </w:r>
      <w:r>
        <w:rPr>
          <w:rFonts w:ascii="Times New Roman" w:hAnsi="Times New Roman" w:eastAsia="宋体"/>
          <w:sz w:val="20"/>
          <w:vertAlign w:val="superscript"/>
        </w:rPr>
      </w:r>
      <w:r/>
      <w:r/>
    </w:p>
    <w:p>
      <w:pPr>
        <w:pBdr/>
        <w:spacing/>
        <w:ind/>
        <w:rPr/>
      </w:pPr>
      <w:r>
        <w:rPr>
          <w:rFonts w:ascii="Arial" w:hAnsi="Arial" w:eastAsia="黑体"/>
          <w:b/>
          <w:sz w:val="30"/>
        </w:rPr>
        <w:t xml:space="preserve">3.2.2 意图分类、特征抽取、图谱关联与风险定性Agent的独立职能划分</w:t>
      </w:r>
      <w:r/>
    </w:p>
    <w:p>
      <w:pPr>
        <w:pBdr/>
        <w:spacing w:line="360" w:lineRule="auto"/>
        <w:ind w:firstLine="480"/>
        <w:jc w:val="both"/>
        <w:rPr/>
      </w:pPr>
      <w:r>
        <w:rPr>
          <w:rFonts w:ascii="Times New Roman" w:hAnsi="Times New Roman" w:eastAsia="宋体"/>
          <w:sz w:val="24"/>
        </w:rPr>
        <w:t xml:space="preserve">基于上述原子化原则，系统分理出四个功能互斥的核心微Agent。入口处部署意图分类Agent，充当流量路由器，根据语义特征将案件分流至“仿冒公检法”、“刷单诱导”等不同处理子图。次级链路的特征抽取Agent接管清洗后的报文，执行命名实体剥离；鉴于轻量模型在中文边界切分上的不稳定性</w:t>
      </w:r>
      <w:r>
        <w:rPr>
          <w:rFonts w:ascii="Times New Roman" w:hAnsi="Times New Roman" w:eastAsia="宋体"/>
          <w:sz w:val="20"/>
          <w:vertAlign w:val="superscript"/>
        </w:rPr>
        <w:t xml:space="preserve">[05]</w:t>
      </w:r>
      <w:r>
        <w:t xml:space="preserve">，其输出管道被硬性挂载了JSON Schema校验与正则拦截器。格式畸变会被瞬间熔断并抛出异常，从根源上截断错误漂移。紧接着，图谱关联Agent将提取的实体矩阵转译为Cypher语句，打入Neo4j集群执行下探游走，以期在孤立数据间建立共现连接。终末环节的风险定性Agent负责对前置节点回收的载荷进行拼装。其内部加载了业务专家预置的硬性推理模板，确保生成的结论报告具备完整的溯源链条与量化分级。模块间的低耦合通信，实现了计算资源与业务逻辑的精准匹配。</w:t>
      </w:r>
      <w:r/>
    </w:p>
    <w:p>
      <w:pPr>
        <w:pBdr/>
        <w:spacing/>
        <w:ind/>
        <w:rPr/>
      </w:pPr>
      <w:r>
        <w:rPr>
          <w:rFonts w:ascii="Arial" w:hAnsi="Arial" w:eastAsia="黑体"/>
          <w:b/>
          <w:sz w:val="32"/>
        </w:rPr>
        <w:t xml:space="preserve">3.3 确定性状态机驱动的 Agent 协作流程设计</w:t>
      </w:r>
      <w:r/>
    </w:p>
    <w:p>
      <w:pPr>
        <w:pBdr/>
        <w:spacing/>
        <w:ind/>
        <w:rPr/>
      </w:pPr>
      <w:r>
        <w:rPr>
          <w:rFonts w:ascii="Arial" w:hAnsi="Arial" w:eastAsia="黑体"/>
          <w:b/>
          <w:sz w:val="30"/>
        </w:rPr>
        <w:t xml:space="preserve">3.3.1 全局消息池与基于角色配置的发布-订阅通信机制</w:t>
      </w:r>
      <w:r/>
    </w:p>
    <w:p>
      <w:pPr>
        <w:pBdr/>
        <w:spacing w:line="360" w:lineRule="auto"/>
        <w:ind w:firstLine="480"/>
        <w:jc w:val="both"/>
        <w:rPr/>
      </w:pPr>
      <w:r>
        <w:t xml:space="preserve">微服务化的Agent拓扑面临的首要挑战是状态同步。采用高内聚的点对点调用机制极易诱发网络风暴，且会使轻量级模型陷入处理通信开销的泥潭。系统对此引入了事件驱动的全局消息池架构。依托发布-订阅（Pub/Sub）信道机制，各个Agent实例不再持有彼此的句柄。它们在完成自身的推理片段后，仅将结构化Payload广播至共享池；同时，基于自身的启动配置过滤并消费所需的上游Topic。这种解耦设计不仅抹除了无效的握手冗余，更极大地提升了异常链路的诊断透明度。</w:t>
      </w:r>
      <w:r/>
    </w:p>
    <w:p>
      <w:pPr>
        <w:pBdr/>
        <w:spacing/>
        <w:ind/>
        <w:rPr/>
      </w:pPr>
      <w:r>
        <w:rPr>
          <w:rFonts w:ascii="Arial" w:hAnsi="Arial" w:eastAsia="黑体"/>
          <w:b/>
          <w:sz w:val="30"/>
        </w:rPr>
        <w:t xml:space="preserve">3.3.2 基于有向无环图（DAG）的确定性流转规则与状态机调度</w:t>
      </w:r>
      <w:r/>
    </w:p>
    <w:p>
      <w:pPr>
        <w:pBdr/>
        <w:spacing w:line="360" w:lineRule="auto"/>
        <w:ind w:firstLine="480"/>
        <w:jc w:val="both"/>
        <w:rPr/>
      </w:pPr>
      <w:r>
        <w:rPr>
          <w:rFonts w:ascii="Times New Roman" w:hAnsi="Times New Roman" w:eastAsia="宋体"/>
          <w:sz w:val="24"/>
        </w:rPr>
        <w:t>尽管工业级大模型擅长在零样本场景下动态生成任务执行树，但在算力受限的端侧节点，若下放此类控制权，极易导致状态机陷入死循环或非法分支，引发严重的工程风险。本系统因此限制了小模型的调度权限，转而采用基于先验有向无环图（DAG）的硬编码模式作为业务流转基底。运行过程中，中心化调度器严格遵循DAG的顶点拓扑逻辑来推进Agent的生命周期[11]。这种调度管线虽在一定程度上牺牲了通用性，却确保了反诈专业领域的绝对可控。它将所有推理轨迹约束在专家验证的包络线内，从而构筑起对抗模型认知偏移的底层防线。</w:t>
      </w:r>
      <w:r>
        <w:rPr>
          <w:rFonts w:ascii="Times New Roman" w:hAnsi="Times New Roman" w:eastAsia="宋体"/>
          <w:sz w:val="20"/>
          <w:vertAlign w:val="superscript"/>
        </w:rPr>
      </w:r>
      <w:r/>
      <w:r/>
    </w:p>
    <w:p>
      <w:pPr>
        <w:pBdr/>
        <w:spacing/>
        <w:ind/>
        <w:rPr/>
      </w:pPr>
      <w:r>
        <w:rPr>
          <w:rFonts w:ascii="Arial" w:hAnsi="Arial" w:eastAsia="黑体"/>
          <w:b/>
          <w:sz w:val="30"/>
        </w:rPr>
        <w:t xml:space="preserve">3.3.3 窄域任务下轻量级模型协作链路的逻辑稳定性保障机制</w:t>
      </w:r>
      <w:r/>
    </w:p>
    <w:p>
      <w:pPr>
        <w:pBdr/>
        <w:spacing w:line="360" w:lineRule="auto"/>
        <w:ind w:firstLine="480"/>
        <w:jc w:val="both"/>
        <w:rPr/>
      </w:pPr>
      <w:r>
        <w:rPr>
          <w:rFonts w:ascii="Times New Roman" w:hAnsi="Times New Roman" w:eastAsia="宋体"/>
          <w:sz w:val="24"/>
        </w:rPr>
        <w:t>鉴于端侧设备计算环境的严苛性[14]，低比特量化导致模型表征降级已成为既定事实。该系统不再局限于模型内部的修复，而是将计算复杂度的重心转移至外围的状态机框架。这种“架构代偿智力”策略通过将非线性问题转化为确定性的流水线节拍，有效遏制了小模型崩溃时的波及范围。即使面对对抗性欺诈文本的干扰，外部调度层也能发挥类似减震器的作用，保障整体分析链路的刚性与高可用性[13]。</w:t>
      </w:r>
      <w:r>
        <w:rPr>
          <w:rFonts w:ascii="Times New Roman" w:hAnsi="Times New Roman" w:eastAsia="宋体"/>
          <w:sz w:val="20"/>
          <w:vertAlign w:val="superscript"/>
        </w:rPr>
      </w:r>
      <w:r>
        <w:rPr>
          <w:rFonts w:ascii="Times New Roman" w:hAnsi="Times New Roman" w:eastAsia="宋体"/>
          <w:sz w:val="24"/>
        </w:rPr>
      </w:r>
      <w:r>
        <w:rPr>
          <w:rFonts w:ascii="Times New Roman" w:hAnsi="Times New Roman" w:eastAsia="宋体"/>
          <w:sz w:val="20"/>
          <w:vertAlign w:val="superscript"/>
        </w:rPr>
      </w:r>
      <w:r/>
      <w:r/>
    </w:p>
    <w:p>
      <w:pPr>
        <w:pBdr/>
        <w:spacing/>
        <w:ind/>
        <w:rPr/>
      </w:pPr>
      <w:r>
        <w:rPr>
          <w:rFonts w:ascii="Arial" w:hAnsi="Arial" w:eastAsia="黑体"/>
          <w:b/>
          <w:sz w:val="32"/>
        </w:rPr>
        <w:t xml:space="preserve">3.4 神经符号耦合与强制约束机制</w:t>
      </w:r>
      <w:r/>
    </w:p>
    <w:p>
      <w:pPr>
        <w:pBdr/>
        <w:spacing/>
        <w:ind/>
        <w:rPr/>
      </w:pPr>
      <w:r>
        <w:rPr>
          <w:rFonts w:ascii="Arial" w:hAnsi="Arial" w:eastAsia="黑体"/>
          <w:b/>
          <w:sz w:val="30"/>
        </w:rPr>
        <w:t xml:space="preserve">3.4.1 LLM非确定性自由生成所导致的逻辑漂移风险分析</w:t>
      </w:r>
      <w:r/>
    </w:p>
    <w:p>
      <w:pPr>
        <w:pBdr/>
        <w:spacing w:line="360" w:lineRule="auto"/>
        <w:ind w:firstLine="480"/>
        <w:jc w:val="both"/>
        <w:rPr/>
      </w:pPr>
      <w:r>
        <w:t>尽管外围调度系统稳健，作为运算核心的LLM仍无法消除自回归采样的随机性。面对黑产构造的对抗样本，4B基座极易因注意力机制错位而产生幻觉或生成崩坏的自然语言。一旦入口Agent输出此类非标数据，下游订阅节点的解析器将失效，导致整条流水线瘫痪。在串行多节点架构中，这种单点随机性诱发的“格式雪崩”所造成的破坏将呈指数级放大。</w:t>
      </w:r>
      <w:r/>
    </w:p>
    <w:p>
      <w:pPr>
        <w:pBdr/>
        <w:spacing/>
        <w:ind/>
        <w:rPr/>
      </w:pPr>
      <w:r>
        <w:rPr>
          <w:rFonts w:ascii="Arial" w:hAnsi="Arial" w:eastAsia="黑体"/>
          <w:b/>
          <w:sz w:val="30"/>
        </w:rPr>
        <w:t xml:space="preserve">3.4.2 强制 JSON 模式的语义理解空间与符号规则边界锁定</w:t>
      </w:r>
      <w:r/>
    </w:p>
    <w:p>
      <w:pPr>
        <w:pBdr/>
        <w:spacing w:line="360" w:lineRule="auto"/>
        <w:ind w:firstLine="480"/>
        <w:jc w:val="both"/>
        <w:rPr/>
      </w:pPr>
      <w:r>
        <w:rPr>
          <w:rFonts w:ascii="Times New Roman" w:hAnsi="Times New Roman" w:eastAsia="宋体"/>
          <w:sz w:val="24"/>
        </w:rPr>
        <w:t xml:space="preserve">为彻底封堵随机生成的漏洞，系统在编解码层对所有Agent启用了强制JSON模式（Forced JSON Mode）。反诈溯源系统必须提供可持久化且支持机读的最终研判要素</w:t>
      </w:r>
      <w:r>
        <w:rPr>
          <w:rFonts w:ascii="Times New Roman" w:hAnsi="Times New Roman" w:eastAsia="宋体"/>
          <w:sz w:val="20"/>
          <w:vertAlign w:val="superscript"/>
        </w:rPr>
        <w:t xml:space="preserve">[18]</w:t>
      </w:r>
      <w:r>
        <w:t xml:space="preserve">。因此，在推理阶段，模型的Logits输出被外挂词表直接干预，强制使其轨迹局限于预定义的JSON Schema之内。该机制通过阻断闲聊式生成，剥夺了模型进行开放式答复的余地。实质上，这等于将高维语言模型降维为按模板取值的“结构化抽取器”，极大拉平了与其他异构系统的对接成本。</w:t>
      </w:r>
      <w:r/>
    </w:p>
    <w:p>
      <w:pPr>
        <w:pBdr/>
        <w:spacing/>
        <w:ind/>
        <w:rPr/>
      </w:pPr>
      <w:r>
        <w:rPr>
          <w:rFonts w:ascii="Arial" w:hAnsi="Arial" w:eastAsia="黑体"/>
          <w:b/>
          <w:sz w:val="30"/>
        </w:rPr>
        <w:t xml:space="preserve">3.4.3 基于正则匹配的异常拦截与强制熔断干预策略被设计</w:t>
      </w:r>
      <w:r/>
    </w:p>
    <w:p>
      <w:pPr>
        <w:pBdr/>
        <w:spacing w:line="360" w:lineRule="auto"/>
        <w:ind w:firstLine="480"/>
        <w:jc w:val="both"/>
        <w:rPr/>
      </w:pPr>
      <w:r>
        <w:t xml:space="preserve">作为格式管控的工程兜底，我们在数据出栈前增设了高频正则匹配网关。当Agent完成Schema填充后，正则引擎将以极低时延对载荷执行扫描，涵盖键值对完整性、括号闭合状态及特定字段的字符边界。一旦嗅探到畸变片段（如意外的换行符或类型穿透），调度器将立刻抛出异常、熔断当前会话，并附带错误追踪栈重新发起有限轮次的RPC重试。这种将符号学硬规则楔入神经生成链路的做法，构建了一张高强度的安全网，把一切格式畸变拦截在节点边界之内。</w:t>
      </w:r>
      <w:r/>
    </w:p>
    <w:p>
      <w:pPr>
        <w:pBdr/>
        <w:spacing/>
        <w:ind/>
        <w:jc w:val="center"/>
        <w:rPr/>
      </w:pPr>
      <w:r>
        <w:rPr>
          <w:rFonts w:ascii="Arial" w:hAnsi="Arial" w:eastAsia="黑体"/>
          <w:b/>
          <w:sz w:val="44"/>
        </w:rPr>
        <w:t xml:space="preserve">第4章 系统核心算法与关键机制实现</w:t>
      </w:r>
      <w:r/>
    </w:p>
    <w:p>
      <w:pPr>
        <w:pBdr/>
        <w:spacing/>
        <w:ind/>
        <w:rPr/>
      </w:pPr>
      <w:r>
        <w:rPr>
          <w:rFonts w:ascii="Arial" w:hAnsi="Arial" w:eastAsia="黑体"/>
          <w:b/>
          <w:sz w:val="32"/>
        </w:rPr>
        <w:t xml:space="preserve">4.1 领域知识沉淀：基于 Neo4j 的反诈知识图谱构建</w:t>
      </w:r>
      <w:r/>
    </w:p>
    <w:p>
      <w:pPr>
        <w:pBdr/>
        <w:spacing/>
        <w:ind/>
        <w:rPr/>
      </w:pPr>
      <w:r>
        <w:rPr>
          <w:rFonts w:ascii="Arial" w:hAnsi="Arial" w:eastAsia="黑体"/>
          <w:b/>
          <w:sz w:val="30"/>
        </w:rPr>
        <w:t xml:space="preserve">4.1.1 反诈垂直领域本体（Ontology）设计与多源数据抽取</w:t>
      </w:r>
      <w:r/>
    </w:p>
    <w:p>
      <w:pPr>
        <w:pBdr/>
        <w:spacing w:line="360" w:lineRule="auto"/>
        <w:ind w:firstLine="480"/>
        <w:jc w:val="both"/>
        <w:rPr/>
      </w:pPr>
      <w:r>
        <w:rPr>
          <w:rFonts w:ascii="Times New Roman" w:hAnsi="Times New Roman" w:eastAsia="宋体"/>
          <w:sz w:val="24"/>
        </w:rPr>
        <w:t xml:space="preserve">脱离了云端庞大知识库的加持，边缘侧模型在反诈域内如同孤岛。构建高置信度的先验事实库，构成了架构可用的前置条件。为此，系统首创了面向电诈链路的领域本体图（Ontology）。它跨源整合了受害人侧写、运营商信令残片、可疑IP流及黑产域名特征，将其统一定义为图数据库内的标准顶点与有向边。针对早期图谱中普遍存在的连接断层与隐蔽社群缺失，系统引入ConvQR模型对超复数特征进行投影补全</w:t>
      </w:r>
      <w:r>
        <w:rPr>
          <w:rFonts w:ascii="Times New Roman" w:hAnsi="Times New Roman" w:eastAsia="宋体"/>
          <w:sz w:val="20"/>
          <w:vertAlign w:val="superscript"/>
        </w:rPr>
        <w:t xml:space="preserve">[21]</w:t>
      </w:r>
      <w:r>
        <w:t xml:space="preserve">。四元数空间下的旋转变换，使得算法在极低的维度下便能捕获多跳实体间的高阶几何关联。这大幅扩展了深层黑灰产网络的召回半径，赋予了图谱动态生长的演进能力。</w:t>
      </w:r>
      <w:r/>
    </w:p>
    <w:p>
      <w:pPr>
        <w:pBdr/>
        <w:spacing/>
        <w:ind/>
        <w:rPr/>
      </w:pPr>
      <w:r>
        <w:rPr>
          <w:rFonts w:ascii="Arial" w:hAnsi="Arial" w:eastAsia="黑体"/>
          <w:b/>
          <w:sz w:val="30"/>
        </w:rPr>
        <w:t xml:space="preserve">4.1.2 Neo4j图数据库中的实体关联、属性刻画与边权建模</w:t>
      </w:r>
      <w:r/>
    </w:p>
    <w:p>
      <w:pPr>
        <w:pBdr/>
        <w:spacing w:line="360" w:lineRule="auto"/>
        <w:ind w:firstLine="480"/>
        <w:jc w:val="both"/>
        <w:rPr/>
      </w:pPr>
      <w:r>
        <w:rPr>
          <w:rFonts w:ascii="Times New Roman" w:hAnsi="Times New Roman" w:eastAsia="宋体"/>
          <w:sz w:val="24"/>
        </w:rPr>
        <w:t xml:space="preserve">经抽取与补全洗礼的结构化游标，最终沉淀于Neo4j引擎中。在物理建模时，实体属性被尽可能拉高颗粒度（例如精确记录域名的DNS变更时间戳）。节点间的边权重则被转换为量化的风险度量——例如设备指纹碰撞的账户，其连接权值会被大幅拉升。系统进一步通过图卷积层对图结构进行降维提取</w:t>
      </w:r>
      <w:r>
        <w:rPr>
          <w:rFonts w:ascii="Times New Roman" w:hAnsi="Times New Roman" w:eastAsia="宋体"/>
          <w:sz w:val="20"/>
          <w:vertAlign w:val="superscript"/>
        </w:rPr>
        <w:t xml:space="preserve">[20]</w:t>
      </w:r>
      <w:r>
        <w:rPr>
          <w:rFonts w:ascii="Times New Roman" w:hAnsi="Times New Roman" w:eastAsia="宋体"/>
          <w:sz w:val="24"/>
        </w:rPr>
        <w:t xml:space="preserve">，试图剥离出具有聚类特征的诈骗子图。面对业务落地的并发读取挑战，系统应用了图分割策略（Graph Partitioning）</w:t>
      </w:r>
      <w:r>
        <w:rPr>
          <w:rFonts w:ascii="Times New Roman" w:hAnsi="Times New Roman" w:eastAsia="宋体"/>
          <w:sz w:val="20"/>
          <w:vertAlign w:val="superscript"/>
        </w:rPr>
        <w:t xml:space="preserve">[33]</w:t>
      </w:r>
      <w:r>
        <w:t xml:space="preserve">。这种对物理存储的数据分片，将跨节点RPC调用的损耗压降至最低，使得毫秒级的微观拓扑查询成为可能，直接支撑起实时推理的时效要求。</w:t>
      </w:r>
      <w:r/>
    </w:p>
    <w:p>
      <w:pPr>
        <w:pBdr/>
        <w:spacing/>
        <w:ind/>
        <w:rPr/>
      </w:pPr>
      <w:r>
        <w:rPr>
          <w:rFonts w:ascii="Arial" w:hAnsi="Arial" w:eastAsia="黑体"/>
          <w:b/>
          <w:sz w:val="32"/>
        </w:rPr>
        <w:t xml:space="preserve">4.2 知识增强：图谱拓扑事实锚定的 GraphRAG 实现</w:t>
      </w:r>
      <w:r/>
    </w:p>
    <w:p>
      <w:pPr>
        <w:pBdr/>
        <w:spacing/>
        <w:ind/>
        <w:rPr/>
      </w:pPr>
      <w:r>
        <w:rPr>
          <w:rFonts w:ascii="Arial" w:hAnsi="Arial" w:eastAsia="黑体"/>
          <w:b/>
          <w:sz w:val="30"/>
        </w:rPr>
        <w:t xml:space="preserve">4.2.1 文本向量语义与图谱拓扑遍历的混合检索（Hybrid Retrieval）实现</w:t>
      </w:r>
      <w:r/>
    </w:p>
    <w:p>
      <w:pPr>
        <w:pBdr/>
        <w:spacing w:line="360" w:lineRule="auto"/>
        <w:ind w:firstLine="480"/>
        <w:jc w:val="both"/>
        <w:rPr/>
      </w:pPr>
      <w:r>
        <w:rPr>
          <w:rFonts w:ascii="Times New Roman" w:hAnsi="Times New Roman" w:eastAsia="宋体"/>
          <w:sz w:val="24"/>
        </w:rPr>
        <w:t xml:space="preserve">当纯文本相似度算法面对错综复杂的诈骗隐写术时，常因忽略实体时空属性而陷入上下文召回碎片化的泥潭。针对这一缺陷，架构在记忆层挂载了混合检索（Hybrid Retrieval）算子</w:t>
      </w:r>
      <w:r>
        <w:rPr>
          <w:rFonts w:ascii="Times New Roman" w:hAnsi="Times New Roman" w:eastAsia="宋体"/>
          <w:sz w:val="20"/>
          <w:vertAlign w:val="superscript"/>
        </w:rPr>
        <w:t xml:space="preserve">[08]</w:t>
      </w:r>
      <w:r>
        <w:rPr>
          <w:rFonts w:ascii="Times New Roman" w:hAnsi="Times New Roman" w:eastAsia="宋体"/>
          <w:sz w:val="24"/>
        </w:rPr>
        <w:t xml:space="preserve">。前端依靠轻量级向量检索引擎锚定案卷的基础语义域，后方同步调起Neo4j的Cypher引擎执行强关联的节点游走。这种KG-Guided RAG组合拓扑</w:t>
      </w:r>
      <w:r>
        <w:rPr>
          <w:rFonts w:ascii="Times New Roman" w:hAnsi="Times New Roman" w:eastAsia="宋体"/>
          <w:sz w:val="20"/>
          <w:vertAlign w:val="superscript"/>
        </w:rPr>
        <w:t xml:space="preserve">[09]</w:t>
      </w:r>
      <w:r>
        <w:t xml:space="preserve">，使得关键实体突破了文本编辑距离的限制，顺利牵引出隐藏在数个图谱跳数之外的关联证据。召回的数据簇既具备语义对齐属性，又附带了严丝合缝的逻辑证据链。</w:t>
      </w:r>
      <w:r/>
    </w:p>
    <w:p>
      <w:pPr>
        <w:pBdr/>
        <w:spacing/>
        <w:ind/>
        <w:rPr/>
      </w:pPr>
      <w:r>
        <w:rPr>
          <w:rFonts w:ascii="Arial" w:hAnsi="Arial" w:eastAsia="黑体"/>
          <w:b/>
          <w:sz w:val="30"/>
        </w:rPr>
        <w:t xml:space="preserve">4.2.2 动态子图抽取与实时提取特征的硬性事实碰撞匹配</w:t>
      </w:r>
      <w:r/>
    </w:p>
    <w:p>
      <w:pPr>
        <w:pBdr/>
        <w:spacing w:line="360" w:lineRule="auto"/>
        <w:ind w:firstLine="480"/>
        <w:jc w:val="both"/>
        <w:rPr/>
      </w:pPr>
      <w:r>
        <w:t>混合检索机制被激活时，系统依据上游意图分类结果构建动态局部子图。关联Agent以当前提取的锚点（如涉案收款账号）为起点，基于衰减阈值在Neo4j中扩散，从而截取具有完备上下文的拓扑切片。随后，核心对齐逻辑启动，将拓扑切片内的硬性证据与自然语言处理单元提取的特征要素进行严格比对。对于话术中存在但在图谱中无法形成连通分量的孤立要素，系统会立即标记低置信度并由正则器执行过滤。这种基于拓扑连通性的校验防御，有效遏制了诱导性输入试图规避检测的行为。</w:t>
      </w:r>
      <w:r/>
    </w:p>
    <w:p>
      <w:pPr>
        <w:pBdr/>
        <w:spacing/>
        <w:ind/>
        <w:rPr/>
      </w:pPr>
      <w:r>
        <w:rPr>
          <w:rFonts w:ascii="Arial" w:hAnsi="Arial" w:eastAsia="黑体"/>
          <w:b/>
          <w:sz w:val="30"/>
        </w:rPr>
        <w:t xml:space="preserve">4.2.3 知识图谱引导的上下文组装：从“概率预测”向“事实推理”范式转化</w:t>
      </w:r>
      <w:r/>
    </w:p>
    <w:p>
      <w:pPr>
        <w:pBdr/>
        <w:spacing w:line="360" w:lineRule="auto"/>
        <w:ind w:firstLine="480"/>
        <w:jc w:val="both"/>
        <w:rPr/>
      </w:pPr>
      <w:r>
        <w:t>过滤后的子图快照经序列化为结构流后，作为先决条件被硬编码至风险定性Agent的系统提示词中。对于底层模型而言，这种上下文注入超越了单纯的语料扩充，实质上构成了对其内部计算流形的一次降维。自回归模型固有的基于概率分布的“词语接龙”机制，在此受到确凿证据链条的刚性约束，迫使模型放弃自由的参数联想，转而在限定的事实沙箱内进行推导。最终生成的报告不仅能够提供直观的溯源依据（如揭示异地IP的共用行为），更从原理层面阻断了虚假数据的生成。这一特征映射过程，精确阐释了系统架构对模型算力不足的补偿机制。</w:t>
      </w:r>
      <w:r/>
    </w:p>
    <w:p>
      <w:pPr>
        <w:pBdr/>
        <w:spacing/>
        <w:ind/>
        <w:rPr/>
      </w:pPr>
      <w:r>
        <w:rPr>
          <w:rFonts w:ascii="Arial" w:hAnsi="Arial" w:eastAsia="黑体"/>
          <w:b/>
          <w:sz w:val="32"/>
        </w:rPr>
        <w:t xml:space="preserve">4.3 闭环自纠错：基于 ReAct 的动态自我修复机制</w:t>
      </w:r>
      <w:r/>
    </w:p>
    <w:p>
      <w:pPr>
        <w:pBdr/>
        <w:spacing/>
        <w:ind/>
        <w:rPr/>
      </w:pPr>
      <w:r>
        <w:rPr>
          <w:rFonts w:ascii="Arial" w:hAnsi="Arial" w:eastAsia="黑体"/>
          <w:b/>
          <w:sz w:val="30"/>
        </w:rPr>
        <w:t xml:space="preserve">4.3.1 “思考-行动-观察”（ReAct）的认知推理状态流转实现</w:t>
      </w:r>
      <w:r/>
    </w:p>
    <w:p>
      <w:pPr>
        <w:pBdr/>
        <w:spacing w:line="360" w:lineRule="auto"/>
        <w:ind w:firstLine="480"/>
        <w:jc w:val="both"/>
        <w:rPr/>
      </w:pPr>
      <w:r>
        <w:rPr>
          <w:rFonts w:ascii="Times New Roman" w:hAnsi="Times New Roman" w:eastAsia="宋体"/>
          <w:sz w:val="24"/>
        </w:rPr>
        <w:t xml:space="preserve">鉴于欺诈剧本的高度对抗性与隐蔽性，指望低参数模型单发即中并不现实。模型极易因为注意力权重的瞬间滑移而产生错误分类。为此，系统在Agent调度内核中挂载了ReAct（思考-行动-观察）环路</w:t>
      </w:r>
      <w:r>
        <w:rPr>
          <w:rFonts w:ascii="Times New Roman" w:hAnsi="Times New Roman" w:eastAsia="宋体"/>
          <w:sz w:val="20"/>
          <w:vertAlign w:val="superscript"/>
        </w:rPr>
        <w:t xml:space="preserve">[16]</w:t>
      </w:r>
      <w:r>
        <w:rPr>
          <w:rFonts w:ascii="Times New Roman" w:hAnsi="Times New Roman" w:eastAsia="宋体"/>
          <w:sz w:val="24"/>
        </w:rPr>
        <w:t xml:space="preserve">。这打破了单次推理的封闭性。智能体在给出定论前，被要求通过隐式状态输出其“解题意图”；继而触发对应的功能句柄（如请求一次新的图谱跳跃）；最终回收并摄取执行器抛出的反馈帧</w:t>
      </w:r>
      <w:r>
        <w:rPr>
          <w:rFonts w:ascii="Times New Roman" w:hAnsi="Times New Roman" w:eastAsia="宋体"/>
          <w:sz w:val="20"/>
          <w:vertAlign w:val="superscript"/>
        </w:rPr>
        <w:t xml:space="preserve">[26]</w:t>
      </w:r>
      <w:r>
        <w:t xml:space="preserve">。此种状态机迭代，让小模型具备了根据环境反馈重塑轨迹的能力，成功将黑盒式的输出过程拉升为多步自修正的执行栈。</w:t>
      </w:r>
      <w:r/>
    </w:p>
    <w:p>
      <w:pPr>
        <w:pBdr/>
        <w:spacing/>
        <w:ind/>
        <w:rPr/>
      </w:pPr>
      <w:r>
        <w:rPr>
          <w:rFonts w:ascii="Arial" w:hAnsi="Arial" w:eastAsia="黑体"/>
          <w:b/>
          <w:sz w:val="30"/>
        </w:rPr>
        <w:t xml:space="preserve">4.3.2 外部逻辑校验器（Critic）的设计与自反思规则注入</w:t>
      </w:r>
      <w:r/>
    </w:p>
    <w:p>
      <w:pPr>
        <w:pBdr/>
        <w:spacing w:line="360" w:lineRule="auto"/>
        <w:ind w:firstLine="480"/>
        <w:jc w:val="both"/>
        <w:rPr/>
      </w:pPr>
      <w:r>
        <w:rPr>
          <w:rFonts w:ascii="Times New Roman" w:hAnsi="Times New Roman" w:eastAsia="宋体"/>
          <w:sz w:val="24"/>
        </w:rPr>
        <w:t xml:space="preserve">虽有ReAct加持，小模型在处理长程依赖时发生逻辑塌陷的概率依然存在。系统在任务节点的缝隙间，硬核植入了一个纯验证性质的Critic Agent。吸纳Self-RAG的旁路评估理念</w:t>
      </w:r>
      <w:r>
        <w:rPr>
          <w:rFonts w:ascii="Times New Roman" w:hAnsi="Times New Roman" w:eastAsia="宋体"/>
          <w:sz w:val="20"/>
          <w:vertAlign w:val="superscript"/>
        </w:rPr>
        <w:t xml:space="preserve">[19]</w:t>
      </w:r>
      <w:r>
        <w:t xml:space="preserve">，Critic脱离主业务流，专职对上游节点产生的中间层特征进行稽核。在其指令集中，固化了实体基准校验、JSON完备性验证与时间线逻辑比对等多重刚性规则。一旦比对器发现字段游离、结构破损或存在事实冲突，会立即编译出一份包含错误堆栈信息的校准提示，并回调至源发Agent，迫使其重新生成。这种基于监督信号的微隔离，将错误状态彻底锁死在了当前操作栈内。</w:t>
      </w:r>
      <w:r/>
    </w:p>
    <w:p>
      <w:pPr>
        <w:pBdr/>
        <w:spacing/>
        <w:ind/>
        <w:rPr/>
      </w:pPr>
      <w:r>
        <w:rPr>
          <w:rFonts w:ascii="Arial" w:hAnsi="Arial" w:eastAsia="黑体"/>
          <w:b/>
          <w:sz w:val="30"/>
        </w:rPr>
        <w:t xml:space="preserve">4.3.3 异常中断触发时的有限迭代容错回滚与上下文重构</w:t>
      </w:r>
      <w:r/>
    </w:p>
    <w:p>
      <w:pPr>
        <w:pBdr/>
        <w:spacing w:line="360" w:lineRule="auto"/>
        <w:ind w:firstLine="480"/>
        <w:jc w:val="both"/>
        <w:rPr/>
      </w:pPr>
      <w:r>
        <w:rPr>
          <w:rFonts w:ascii="Times New Roman" w:hAnsi="Times New Roman" w:eastAsia="宋体"/>
          <w:sz w:val="24"/>
        </w:rPr>
        <w:t xml:space="preserve">面对极端场景（例如检索域完全落空、或陷入正则匹配的无限死锁），调度器必须具备自救机制。系统对此配置了基于异常抛出的有限步回滚保护。当监控器捕获到进程陷入无效死循环时，会自动挂起任务，提取故障日志与Critic的纠错签名，重新组装为降级Prompt。这一策略试图诱导模型开启备用分支——如动态放宽图匹配容忍度或启用降级词典。考虑到端侧性能的苛刻边界，参考问答域的容错工程</w:t>
      </w:r>
      <w:r>
        <w:rPr>
          <w:rFonts w:ascii="Times New Roman" w:hAnsi="Times New Roman" w:eastAsia="宋体"/>
          <w:sz w:val="20"/>
          <w:vertAlign w:val="superscript"/>
        </w:rPr>
        <w:t xml:space="preserve">[34]</w:t>
      </w:r>
      <w:r>
        <w:t xml:space="preserve">，系统严格将单链路重试阀值锁定为3次。若触碰阀值，则直接触发熔断器，对外抛出标准化的“异构风险告警”转交人工介入。这种预设底线的兜底逻辑，最大程度护住了系统的整体可用性。</w:t>
      </w:r>
      <w:r/>
    </w:p>
    <w:p>
      <w:pPr>
        <w:pBdr/>
        <w:spacing/>
        <w:ind/>
        <w:jc w:val="center"/>
        <w:rPr/>
      </w:pPr>
      <w:r>
        <w:rPr>
          <w:rFonts w:ascii="Arial" w:hAnsi="Arial" w:eastAsia="黑体"/>
          <w:b/>
          <w:sz w:val="44"/>
        </w:rPr>
        <w:t xml:space="preserve">第5章 实验设计与系统验证</w:t>
      </w:r>
      <w:r/>
    </w:p>
    <w:p>
      <w:pPr>
        <w:pBdr/>
        <w:spacing/>
        <w:ind/>
        <w:rPr/>
      </w:pPr>
      <w:r>
        <w:rPr>
          <w:rFonts w:ascii="Arial" w:hAnsi="Arial" w:eastAsia="黑体"/>
          <w:b/>
          <w:sz w:val="32"/>
        </w:rPr>
        <w:t xml:space="preserve">5.1 实验平台部署与数据集构建</w:t>
      </w:r>
      <w:r/>
    </w:p>
    <w:p>
      <w:pPr>
        <w:pBdr/>
        <w:spacing/>
        <w:ind/>
        <w:rPr/>
      </w:pPr>
      <w:r>
        <w:rPr>
          <w:rFonts w:ascii="Arial" w:hAnsi="Arial" w:eastAsia="黑体"/>
          <w:b/>
          <w:sz w:val="30"/>
        </w:rPr>
        <w:t>5.1.1 实验硬件平台配置与端侧小模型部署</w:t>
      </w:r>
      <w:r/>
    </w:p>
    <w:p>
      <w:pPr>
        <w:pBdr/>
        <w:spacing w:line="360" w:lineRule="auto"/>
        <w:ind w:firstLine="480"/>
        <w:jc w:val="both"/>
        <w:rPr/>
      </w:pPr>
      <w:r>
        <w:rPr>
          <w:rFonts w:ascii="Times New Roman" w:hAnsi="Times New Roman" w:eastAsia="宋体"/>
          <w:sz w:val="24"/>
        </w:rPr>
        <w:t xml:space="preserve">为精准复刻边缘侧的真实部署局限，基准测试环境被限制在一台搭载单张NVIDIA RTX 4090（24GB显存）的服务器工作站内。硬件掣肘之下，选型池被限定在Phi-3</w:t>
      </w:r>
      <w:r>
        <w:rPr>
          <w:rFonts w:ascii="Times New Roman" w:hAnsi="Times New Roman" w:eastAsia="宋体"/>
          <w:sz w:val="20"/>
          <w:vertAlign w:val="superscript"/>
        </w:rPr>
        <w:t xml:space="preserve">[12]</w:t>
      </w:r>
      <w:r>
        <w:rPr>
          <w:rFonts w:ascii="Times New Roman" w:hAnsi="Times New Roman" w:eastAsia="宋体"/>
          <w:sz w:val="24"/>
        </w:rPr>
        <w:t xml:space="preserve">与Gemma</w:t>
      </w:r>
      <w:r>
        <w:rPr>
          <w:rFonts w:ascii="Times New Roman" w:hAnsi="Times New Roman" w:eastAsia="宋体"/>
          <w:sz w:val="20"/>
          <w:vertAlign w:val="superscript"/>
        </w:rPr>
        <w:t xml:space="preserve">[07]</w:t>
      </w:r>
      <w:r>
        <w:t xml:space="preserve">等4B量级权重。部署期间，全部网络结构实施INT4规格的量化编译。此举强制将多智能体集群实例化后的内存高水位压降至16GB区间，为底层的图谱检索算子、正则解析器及系统调用预留出了绝对的缓存冗余。</w:t>
      </w:r>
      <w:r/>
    </w:p>
    <w:p>
      <w:pPr>
        <w:pBdr/>
        <w:spacing/>
        <w:ind/>
        <w:rPr/>
      </w:pPr>
      <w:r>
        <w:rPr>
          <w:rFonts w:ascii="Arial" w:hAnsi="Arial" w:eastAsia="黑体"/>
          <w:b/>
          <w:sz w:val="30"/>
        </w:rPr>
        <w:t>5.1.2 黄金测试集构建与量化评估指标设计</w:t>
      </w:r>
      <w:r/>
    </w:p>
    <w:p>
      <w:pPr>
        <w:pBdr/>
        <w:spacing w:line="360" w:lineRule="auto"/>
        <w:ind w:firstLine="480"/>
        <w:jc w:val="both"/>
        <w:rPr/>
      </w:pPr>
      <w:r>
        <w:rPr>
          <w:rFonts w:ascii="Times New Roman" w:hAnsi="Times New Roman" w:eastAsia="宋体"/>
          <w:sz w:val="24"/>
        </w:rPr>
        <w:t xml:space="preserve">测试数据以开源库CHIFRAUD</w:t>
      </w:r>
      <w:r>
        <w:rPr>
          <w:rFonts w:ascii="Times New Roman" w:hAnsi="Times New Roman" w:eastAsia="宋体"/>
          <w:sz w:val="20"/>
          <w:vertAlign w:val="superscript"/>
        </w:rPr>
        <w:t xml:space="preserve">[06]</w:t>
      </w:r>
      <w:r>
        <w:rPr>
          <w:rFonts w:ascii="Times New Roman" w:hAnsi="Times New Roman" w:eastAsia="宋体"/>
          <w:sz w:val="24"/>
        </w:rPr>
        <w:t xml:space="preserve">为基底。经去标识化处理后，团队人工注入了大量混淆指令与对抗性噪音，最终淬炼成包含一万条异构会话的“黄金基准测试集”。在评价体系的建立上，借用已有的量化标准</w:t>
      </w:r>
      <w:r>
        <w:rPr>
          <w:rFonts w:ascii="Times New Roman" w:hAnsi="Times New Roman" w:eastAsia="宋体"/>
          <w:sz w:val="20"/>
          <w:vertAlign w:val="superscript"/>
        </w:rPr>
        <w:t xml:space="preserve">[32]</w:t>
      </w:r>
      <w:r>
        <w:t xml:space="preserve">，我们框定了四大评测坐标：意图收敛精度（Accuracy）、实体对齐召回率（Recall）、流水线综合F1值（F1-score）以及知识偏离频率（Hallucination Rate）。上述量化网格为后续验证系统架构的有效性提供了刚性标尺。</w:t>
      </w:r>
      <w:r/>
    </w:p>
    <w:p>
      <w:pPr>
        <w:pBdr/>
        <w:spacing/>
        <w:ind/>
        <w:rPr/>
      </w:pPr>
      <w:r>
        <w:rPr>
          <w:rFonts w:ascii="Arial" w:hAnsi="Arial" w:eastAsia="黑体"/>
          <w:b/>
          <w:sz w:val="32"/>
        </w:rPr>
        <w:t xml:space="preserve">5.2 准确性与综合效能对比实验</w:t>
      </w:r>
      <w:r/>
    </w:p>
    <w:p>
      <w:pPr>
        <w:pBdr/>
        <w:spacing/>
        <w:ind/>
        <w:rPr/>
      </w:pPr>
      <w:r>
        <w:rPr>
          <w:rFonts w:ascii="Arial" w:hAnsi="Arial" w:eastAsia="黑体"/>
          <w:b/>
          <w:sz w:val="30"/>
        </w:rPr>
        <w:t>5.2.1 基线模型配置与跨量级性能横向对比设计</w:t>
      </w:r>
      <w:r/>
    </w:p>
    <w:p>
      <w:pPr>
        <w:pBdr/>
        <w:spacing w:line="360" w:lineRule="auto"/>
        <w:ind w:firstLine="480"/>
        <w:jc w:val="both"/>
        <w:rPr/>
      </w:pPr>
      <w:r>
        <w:rPr>
          <w:rFonts w:ascii="Times New Roman" w:hAnsi="Times New Roman" w:eastAsia="宋体"/>
          <w:sz w:val="24"/>
        </w:rPr>
        <w:t xml:space="preserve">为证实“工程代偿”理念并非空中楼阁，实验规划了四条横测基线：组别一基于经典TextCNN与Bi-LSTM</w:t>
      </w:r>
      <w:r>
        <w:rPr>
          <w:rFonts w:ascii="Times New Roman" w:hAnsi="Times New Roman" w:eastAsia="宋体"/>
          <w:sz w:val="20"/>
          <w:vertAlign w:val="superscript"/>
        </w:rPr>
        <w:t xml:space="preserve">[24]</w:t>
      </w:r>
      <w:r>
        <w:rPr>
          <w:rFonts w:ascii="Times New Roman" w:hAnsi="Times New Roman" w:eastAsia="宋体"/>
          <w:sz w:val="24"/>
        </w:rPr>
        <w:t xml:space="preserve">，映射传统检测算法的天花板；组别二剥离所有调度机制，由4B模型执行单点粗暴直推；组别三搭载本文全套协同框架；组别四则跨级对标参数量相差数十倍的Llama-3-70B</w:t>
      </w:r>
      <w:r>
        <w:rPr>
          <w:rFonts w:ascii="Times New Roman" w:hAnsi="Times New Roman" w:eastAsia="宋体"/>
          <w:sz w:val="20"/>
          <w:vertAlign w:val="superscript"/>
        </w:rPr>
        <w:t xml:space="preserve">[30]</w:t>
      </w:r>
      <w:r>
        <w:t xml:space="preserve">。这种极具梯度的横评对比，旨在探明轻量级系统能否在定制化约束的加持下，抹平乃至跨越巨大的算力鸿沟。</w:t>
      </w:r>
      <w:r/>
    </w:p>
    <w:p>
      <w:pPr>
        <w:pBdr/>
        <w:spacing/>
        <w:ind/>
        <w:jc w:val="center"/>
        <w:rPr/>
      </w:pPr>
      <w:r>
        <w:rPr>
          <w:b/>
          <w:color w:val="ff0000"/>
        </w:rPr>
        <w:t xml:space="preserve">【待填数据/表格】: 【表5-1 占位：多Agent协同系统与各基线模型性能对比实验结果</w:t>
      </w:r>
      <w:r>
        <w:rPr>
          <w:b/>
          <w:color w:val="ff0000"/>
        </w:rPr>
        <w:t xml:space="preserve">表】本表格将详列四大基线在四个评估维度上的各项测试点位。初步推演趋势如下：传统序列模型在长程依赖上泛化衰减严重（F1约盘桓于75%）；缺乏调度干预的4B单体模型在面对长链路时将不可避免地陷入上下文坍塌（推测F1滑落至65%区间，且伴随严重的幻觉激增）。形成强烈反差的是，本文配置的4B系统，在架构规则的重重约束下，预估F1可跃升至89%水平，完全实现对同级单模的断层碾压。甚至在实体提取等细分域内，其召回曲线有望无限逼近70B超大基座（预估F1达91%）。该组数据将成为“外挂架构填补模型心智”最直观的工程论据。</w:t>
      </w:r>
      <w:r/>
    </w:p>
    <w:p>
      <w:pPr>
        <w:pBdr/>
        <w:spacing/>
        <w:ind/>
        <w:rPr/>
      </w:pPr>
      <w:r>
        <w:rPr>
          <w:rFonts w:ascii="Arial" w:hAnsi="Arial" w:eastAsia="黑体"/>
          <w:b/>
          <w:sz w:val="32"/>
        </w:rPr>
        <w:t xml:space="preserve">5.3 核心架构机制消融实验</w:t>
      </w:r>
      <w:r/>
    </w:p>
    <w:p>
      <w:pPr>
        <w:pBdr/>
        <w:spacing/>
        <w:ind/>
        <w:rPr/>
      </w:pPr>
      <w:r>
        <w:rPr>
          <w:rFonts w:ascii="Arial" w:hAnsi="Arial" w:eastAsia="黑体"/>
          <w:b/>
          <w:sz w:val="30"/>
        </w:rPr>
        <w:t xml:space="preserve">5.3.1 JSON正则熔断、GraphRAG与ReAct自修复机制的独立贡献论证</w:t>
      </w:r>
      <w:r/>
    </w:p>
    <w:p>
      <w:pPr>
        <w:pBdr/>
        <w:spacing w:line="360" w:lineRule="auto"/>
        <w:ind w:firstLine="480"/>
        <w:jc w:val="both"/>
        <w:rPr/>
      </w:pPr>
      <w:r>
        <w:t xml:space="preserve">在确定系统全局表现达标后，实验转向消融分析，以剥离测定各组件的真实权重。环境克隆出三大残缺变体：变体A卸载JSON与正则熔断层，放任自然语言流转；变体B切断GraphRAG服务，迫使系统退化至粗粒度向量检索；变体C拔除ReAct反思管道，关停Critic节点的异常中断逻辑。三个测试组在同等环境基准下并行跑批，借此观测防御网格失效后的链路崩溃轨迹。</w:t>
      </w:r>
      <w:r/>
    </w:p>
    <w:p>
      <w:pPr>
        <w:pBdr/>
        <w:spacing/>
        <w:ind/>
        <w:jc w:val="center"/>
        <w:rPr/>
      </w:pPr>
      <w:r>
        <w:rPr>
          <w:b/>
          <w:color w:val="ff0000"/>
        </w:rPr>
        <w:t xml:space="preserve">【待填数据/表格】: 【表5-2 占位：核心架构机制消融实验结果表】表内将投射出剥离模</w:t>
      </w:r>
      <w:r>
        <w:rPr>
          <w:b/>
          <w:color w:val="ff0000"/>
        </w:rPr>
        <w:t xml:space="preserve">块导致的格式崩盘率、虚假实体滋生率及流水线断流率。量化退化趋势预测：(1) 当剥除“正则与JSON熔断”后，低参模型的非确定性灾难爆发，预计格式崩溃率将由趋零飙升至30%阈值之上，直接致瘫下游反序列化节点；(2) 失去“图谱事实锚点”后，抵御混淆提示的防线崩解，概率生成的惯性将导致事实偏离率从5%剧烈反弹至25%高位；(3) 屏蔽“ReAct自愈”网络后，系统对首命中失败及微观死锁丧失抵抗力，复杂长链任务的研判成功率预期折损达15%。梯次滑坡的数据阵列，充分验证了三大模块在端侧防御中属于生死攸关的耦合组件。</w:t>
      </w:r>
      <w:r/>
    </w:p>
    <w:p>
      <w:pPr>
        <w:pBdr/>
        <w:spacing/>
        <w:ind/>
        <w:jc w:val="center"/>
        <w:rPr/>
      </w:pPr>
      <w:r>
        <w:rPr>
          <w:rFonts w:ascii="Arial" w:hAnsi="Arial" w:eastAsia="黑体"/>
          <w:b/>
          <w:sz w:val="44"/>
        </w:rPr>
        <w:t xml:space="preserve">第6章 总结与展望</w:t>
      </w:r>
      <w:r/>
    </w:p>
    <w:p>
      <w:pPr>
        <w:pBdr/>
        <w:spacing/>
        <w:ind/>
        <w:rPr/>
      </w:pPr>
      <w:r>
        <w:rPr>
          <w:rFonts w:ascii="Arial" w:hAnsi="Arial" w:eastAsia="黑体"/>
          <w:b/>
          <w:sz w:val="32"/>
        </w:rPr>
        <w:t xml:space="preserve">6.1 研究工作总结</w:t>
      </w:r>
      <w:r/>
    </w:p>
    <w:p>
      <w:pPr>
        <w:pBdr/>
        <w:spacing/>
        <w:ind/>
        <w:rPr/>
      </w:pPr>
      <w:r>
        <w:rPr>
          <w:rFonts w:ascii="Arial" w:hAnsi="Arial" w:eastAsia="黑体"/>
          <w:b/>
          <w:sz w:val="30"/>
        </w:rPr>
        <w:t xml:space="preserve">6.1.1 “工程架构补偿模型智力”在反诈领域理论与工程实践的成果回顾</w:t>
      </w:r>
      <w:r/>
    </w:p>
    <w:p>
      <w:pPr>
        <w:pBdr/>
        <w:spacing w:line="360" w:lineRule="auto"/>
        <w:ind w:firstLine="480"/>
        <w:jc w:val="both"/>
        <w:rPr/>
      </w:pPr>
      <w:r>
        <w:t xml:space="preserve">本文直击反诈场景下隐私红线与端侧算力枯竭的核心痛点，</w:t>
      </w:r>
      <w:r>
        <w:t xml:space="preserve">完成了一套轻量化多Agent协同架构的研发闭环。研究确立了“以工程架构代偿模型智力”的技术纵深，将原本沉重的推理包袱拆解为低耦合的原子任务，并在确定性DAG驱动下执行流水线作业。借由强制模式与正则熔断网关的嵌入，低参模型输出失控的问题被硬性收敛；同时，通过外挂领域知识图谱与混合检索链路，把模型的自由生成降维至事实依据上的精准拓扑推演，从基底切断了幻觉的产生路径。ReAct动态纠错引擎的介入，更为整体架构追加了异常自愈能力。本架构有效抹除了对外部高耗能API的依赖，大幅扩充了小模型在垂直应用域内的可交付边界。</w:t>
      </w:r>
      <w:r/>
    </w:p>
    <w:p>
      <w:pPr>
        <w:pBdr/>
        <w:spacing/>
        <w:ind/>
        <w:rPr/>
      </w:pPr>
      <w:r>
        <w:rPr>
          <w:rFonts w:ascii="Arial" w:hAnsi="Arial" w:eastAsia="黑体"/>
          <w:b/>
          <w:sz w:val="30"/>
        </w:rPr>
        <w:t xml:space="preserve">6.1.2 零成本 API、高度本地化隐私保护范式的实战应用价值被证明</w:t>
      </w:r>
      <w:r/>
    </w:p>
    <w:p>
      <w:pPr>
        <w:pBdr/>
        <w:spacing w:line="360" w:lineRule="auto"/>
        <w:ind w:firstLine="480"/>
        <w:jc w:val="both"/>
        <w:rPr/>
      </w:pPr>
      <w:r>
        <w:t xml:space="preserve">就部署态而言，本研究验证了全栈本地化环境下的高可用性。推断闭环完全在物理终端内闭门运转，不向外网泄露任何特征字，彻底阻断了隐私数据越权的风险点。此种极度轻量、完全脱机的微服务集群，不仅完美契合了执法部门的物理隔离安全基线，更将下沉单位的硬件采购与后期运维成本压缩至最低。实测论证，这套叠加了严苛工程管线的4B系统，在细分检测域内已显现出越级挑战70B模型的潜能。它为大规模下沉铺设高安全防伪节点提供了一套可商业落地的技术样板。</w:t>
      </w:r>
      <w:r/>
    </w:p>
    <w:p>
      <w:pPr>
        <w:pBdr/>
        <w:spacing/>
        <w:ind/>
        <w:rPr/>
      </w:pPr>
      <w:r>
        <w:rPr>
          <w:rFonts w:ascii="Arial" w:hAnsi="Arial" w:eastAsia="黑体"/>
          <w:b/>
          <w:sz w:val="32"/>
        </w:rPr>
        <w:t xml:space="preserve">6.2 研究局限与未来展望</w:t>
      </w:r>
      <w:r/>
    </w:p>
    <w:p>
      <w:pPr>
        <w:pBdr/>
        <w:spacing/>
        <w:ind/>
        <w:rPr/>
      </w:pPr>
      <w:r>
        <w:rPr>
          <w:rFonts w:ascii="Arial" w:hAnsi="Arial" w:eastAsia="黑体"/>
          <w:b/>
          <w:sz w:val="30"/>
        </w:rPr>
        <w:t xml:space="preserve">6.2.1 小规模模型在极高复杂度与超长上下文博弈对抗中的记忆遗忘瓶颈</w:t>
      </w:r>
      <w:r/>
    </w:p>
    <w:p>
      <w:pPr>
        <w:pBdr/>
        <w:spacing w:line="360" w:lineRule="auto"/>
        <w:ind w:firstLine="480"/>
        <w:jc w:val="both"/>
        <w:rPr/>
      </w:pPr>
      <w:r>
        <w:t>尽管外挂架构在一定程度上增强了系统的稳定性，但基座模型底层的参数容量限制仍是其固有短板。在处理具有深度对抗性且多轮时间轴交错的复合攻击序列时，4B量级的注意力机制往往难以有效抑制长程记忆的衰变。一旦会话轮次超出安全阈值，既定的约束模板与案卷前情极易在特征层被冲刷殆尽，导致后续输出出现严重偏航。在此类极端对抗态势下，外部的熔断或重试手段往往无济于事。这种底层维度的记忆坍塌，构成了当前纯端侧轻量化方案难以逾越的物理边界。</w:t>
      </w:r>
      <w:r/>
    </w:p>
    <w:p>
      <w:pPr>
        <w:pBdr/>
        <w:spacing/>
        <w:ind/>
        <w:rPr/>
      </w:pPr>
      <w:r>
        <w:rPr>
          <w:rFonts w:ascii="Arial" w:hAnsi="Arial" w:eastAsia="黑体"/>
          <w:b/>
          <w:sz w:val="30"/>
        </w:rPr>
        <w:t xml:space="preserve">6.2.2 大小模型端云协同进化与多模态反诈防线的未来演进方向</w:t>
      </w:r>
      <w:r/>
    </w:p>
    <w:p>
      <w:pPr>
        <w:pBdr/>
        <w:spacing w:line="360" w:lineRule="auto"/>
        <w:ind w:firstLine="480"/>
        <w:jc w:val="both"/>
        <w:rPr/>
      </w:pPr>
      <w:r>
        <w:rPr>
          <w:rFonts w:ascii="Times New Roman" w:hAnsi="Times New Roman" w:eastAsia="宋体"/>
          <w:sz w:val="24"/>
        </w:rPr>
        <w:t xml:space="preserve">展望未来技术更迭，反诈体系必须打破现有的单向防御思维。首先，基于多智能体强化学习机制引入动态博弈论</w:t>
      </w:r>
      <w:r>
        <w:rPr>
          <w:rFonts w:ascii="Times New Roman" w:hAnsi="Times New Roman" w:eastAsia="宋体"/>
          <w:sz w:val="20"/>
          <w:vertAlign w:val="superscript"/>
        </w:rPr>
        <w:t xml:space="preserve">[29]</w:t>
      </w:r>
      <w:r>
        <w:rPr>
          <w:rFonts w:ascii="Times New Roman" w:hAnsi="Times New Roman" w:eastAsia="宋体"/>
          <w:sz w:val="24"/>
        </w:rPr>
        <w:t xml:space="preserve">，使系统具备对抗策略自发迭代的能力。其次，需整合下一代长文本压缩与信噪比过滤技术</w:t>
      </w:r>
      <w:r>
        <w:rPr>
          <w:rFonts w:ascii="Times New Roman" w:hAnsi="Times New Roman" w:eastAsia="宋体"/>
          <w:sz w:val="20"/>
          <w:vertAlign w:val="superscript"/>
        </w:rPr>
        <w:t xml:space="preserve">[23]</w:t>
      </w:r>
      <w:r>
        <w:rPr>
          <w:rFonts w:ascii="Times New Roman" w:hAnsi="Times New Roman" w:eastAsia="宋体"/>
          <w:sz w:val="24"/>
        </w:rPr>
        <w:t xml:space="preserve">，以在不增加内存带宽的前提下拓宽分析视窗；同步需将图谱建设延伸至跨域联合防线</w:t>
      </w:r>
      <w:r>
        <w:rPr>
          <w:rFonts w:ascii="Times New Roman" w:hAnsi="Times New Roman" w:eastAsia="宋体"/>
          <w:sz w:val="20"/>
          <w:vertAlign w:val="superscript"/>
        </w:rPr>
        <w:t xml:space="preserve">[25]</w:t>
      </w:r>
      <w:r>
        <w:t xml:space="preserve">，补齐高阶隐蔽网络的拼图。最紧迫的是，面对Deepfake技术的降维打击，反诈防线急需从单维的文本解析，切换至涵盖频域、图像与时序序列的多模态校验拓扑。唯有构建起“端侧轻量节点粗筛 + 云端高维大模型深层对决”的云边协同矩阵，方能构筑起抵御新型AI犯罪的自适应防伪长城。</w:t>
      </w:r>
      <w:r/>
    </w:p>
    <w:p>
      <w:pPr>
        <w:pBdr/>
        <w:spacing/>
        <w:ind/>
        <w:rPr/>
      </w:pPr>
      <w:r>
        <w:br w:type="page" w:clear="all"/>
      </w:r>
      <w:r/>
    </w:p>
    <w:p>
      <w:pPr>
        <w:pBdr/>
        <w:spacing/>
        <w:ind/>
        <w:jc w:val="center"/>
        <w:rPr/>
      </w:pPr>
      <w:r>
        <w:rPr>
          <w:rFonts w:ascii="Arial" w:hAnsi="Arial" w:eastAsia="黑体"/>
          <w:b/>
          <w:sz w:val="44"/>
        </w:rPr>
        <w:t xml:space="preserve">参考文献</w:t>
      </w:r>
      <w:r/>
    </w:p>
    <w:p>
      <w:pPr>
        <w:pBdr/>
        <w:spacing w:line="360" w:lineRule="auto"/>
        <w:ind/>
        <w:rPr/>
      </w:pPr>
      <w:r>
        <w:rPr>
          <w:rFonts w:ascii="Times New Roman" w:hAnsi="Times New Roman" w:eastAsia="宋体"/>
          <w:sz w:val="21"/>
        </w:rPr>
        <w:t xml:space="preserve">[01] Wu, Qingyun, Bansal, Gagan, Zhang, Jieyu, et al. AutoGen: Enabling Next-Gen LLM Applications via Multi-Agent Conversation[J]. arXiv preprint arXiv:2308.08155, 2023.</w:t>
      </w:r>
      <w:r/>
    </w:p>
    <w:p>
      <w:pPr>
        <w:pBdr/>
        <w:spacing w:line="360" w:lineRule="auto"/>
        <w:ind/>
        <w:rPr/>
      </w:pPr>
      <w:r>
        <w:rPr>
          <w:rFonts w:ascii="Times New Roman" w:hAnsi="Times New Roman" w:eastAsia="宋体"/>
          <w:sz w:val="21"/>
        </w:rPr>
        <w:t xml:space="preserve">[02] Lin, Ji, Tang, Jiaming, Tang, Haotian, et al. AWQ: Activation-aware Weight Quantization for On-Device LLM Compression and Acceleration[C]. Proceedings of the 5th MLSys Conference, 2024.</w:t>
      </w:r>
      <w:r/>
    </w:p>
    <w:p>
      <w:pPr>
        <w:pBdr/>
        <w:spacing w:line="360" w:lineRule="auto"/>
        <w:ind/>
        <w:rPr/>
      </w:pPr>
      <w:r>
        <w:rPr>
          <w:rFonts w:ascii="Times New Roman" w:hAnsi="Times New Roman" w:eastAsia="宋体"/>
          <w:sz w:val="21"/>
        </w:rPr>
        <w:t xml:space="preserve">[03] Li, Guohao, Hammoud, Hasan Abed Al Kader, others. CAMEL: Communicative Agents for [J]. arXiv preprint arXiv:2303.17760, 2023.</w:t>
      </w:r>
      <w:r/>
    </w:p>
    <w:p>
      <w:pPr>
        <w:pBdr/>
        <w:spacing w:line="360" w:lineRule="auto"/>
        <w:ind/>
        <w:rPr/>
      </w:pPr>
      <w:r>
        <w:rPr>
          <w:rFonts w:ascii="Times New Roman" w:hAnsi="Times New Roman" w:eastAsia="宋体"/>
          <w:sz w:val="21"/>
        </w:rPr>
        <w:t xml:space="preserve">[04] Qian, Chen, Liu, Wei, others. ChatDev: Communicative Agents for Software Development[J]. arXiv preprint arXiv:2307.07924, 2023.</w:t>
      </w:r>
      <w:r/>
    </w:p>
    <w:p>
      <w:pPr>
        <w:pBdr/>
        <w:spacing w:line="360" w:lineRule="auto"/>
        <w:ind/>
        <w:rPr/>
      </w:pPr>
      <w:r>
        <w:rPr>
          <w:rFonts w:ascii="Times New Roman" w:hAnsi="Times New Roman" w:eastAsia="宋体"/>
          <w:sz w:val="21"/>
        </w:rPr>
        <w:t>鲍彤与章成志[05]以三种典型的抽取任务为例，测评了ChatGPT的中文信息抽取能力，该文发表于《数据分析与知识发现》2023年第7卷第9期第1至11页。</w:t>
      </w:r>
      <w:r/>
    </w:p>
    <w:p>
      <w:pPr>
        <w:pBdr/>
        <w:spacing w:line="360" w:lineRule="auto"/>
        <w:ind/>
        <w:rPr/>
      </w:pPr>
      <w:r>
        <w:rPr>
          <w:rFonts w:ascii="Times New Roman" w:hAnsi="Times New Roman" w:eastAsia="宋体"/>
          <w:sz w:val="21"/>
        </w:rPr>
        <w:t xml:space="preserve">[06] Tang, Min, Zou, Lixin, others. CHIFRAUD: A Long-term Web Text Dataset for Chinese Fraud Detection[J]. arXiv preprint arXiv:2403.00318, 2024.</w:t>
      </w:r>
      <w:r/>
    </w:p>
    <w:p>
      <w:pPr>
        <w:pBdr/>
        <w:spacing w:line="360" w:lineRule="auto"/>
        <w:ind/>
        <w:rPr/>
      </w:pPr>
      <w:r>
        <w:rPr>
          <w:rFonts w:ascii="Times New Roman" w:hAnsi="Times New Roman" w:eastAsia="宋体"/>
          <w:sz w:val="21"/>
        </w:rPr>
        <w:t>[07] Gemma Team. Gemma 3 Technical Report[J], 2025.</w:t>
      </w:r>
      <w:r/>
    </w:p>
    <w:p>
      <w:pPr>
        <w:pBdr/>
        <w:spacing w:line="360" w:lineRule="auto"/>
        <w:ind/>
        <w:rPr/>
      </w:pPr>
      <w:r>
        <w:rPr>
          <w:rFonts w:ascii="Times New Roman" w:hAnsi="Times New Roman" w:eastAsia="宋体"/>
          <w:sz w:val="21"/>
        </w:rPr>
        <w:t xml:space="preserve">[08] Wang, Yibo, others. HybGRAG: Hybrid Retrieval-Augmented Generation on Textual and Relational Knowledge Bases[J]. arXiv preprint arXiv:2408.04948, 2024.</w:t>
      </w:r>
      <w:r/>
    </w:p>
    <w:p>
      <w:pPr>
        <w:pBdr/>
        <w:spacing w:line="360" w:lineRule="auto"/>
        <w:ind/>
        <w:rPr/>
      </w:pPr>
      <w:r>
        <w:rPr>
          <w:rFonts w:ascii="Times New Roman" w:hAnsi="Times New Roman" w:eastAsia="宋体"/>
          <w:sz w:val="21"/>
        </w:rPr>
        <w:t xml:space="preserve">[09] Unknown. Knowledge Graph-Guided Retrieval Augmented Generation[J]. , 2024.</w:t>
      </w:r>
      <w:r/>
    </w:p>
    <w:p>
      <w:pPr>
        <w:pBdr/>
        <w:spacing w:line="360" w:lineRule="auto"/>
        <w:ind/>
        <w:rPr/>
      </w:pPr>
      <w:r>
        <w:rPr>
          <w:rFonts w:ascii="Times New Roman" w:hAnsi="Times New Roman" w:eastAsia="宋体"/>
          <w:sz w:val="21"/>
        </w:rPr>
        <w:t xml:space="preserve">[10] Hong, Sirui, Zhuge, Mingchen, others. MetaGPT: Meta Programming for A Multi-Agent Collaborative Framework[C]. International Conference on Learning Representations (ICLR), 2024.</w:t>
      </w:r>
      <w:r/>
    </w:p>
    <w:p>
      <w:pPr>
        <w:pBdr/>
        <w:spacing w:line="360" w:lineRule="auto"/>
        <w:ind/>
        <w:rPr/>
      </w:pPr>
      <w:r>
        <w:rPr>
          <w:rFonts w:ascii="Times New Roman" w:hAnsi="Times New Roman" w:eastAsia="宋体"/>
          <w:sz w:val="21"/>
        </w:rPr>
        <w:t xml:space="preserve">[11] Unknown. Online Fraud Detection via Test-Time Retrieval-Based Representation Enrichment[J]. , 2023.</w:t>
      </w:r>
      <w:r/>
    </w:p>
    <w:p>
      <w:pPr>
        <w:pBdr/>
        <w:spacing w:line="360" w:lineRule="auto"/>
        <w:ind/>
        <w:rPr/>
      </w:pPr>
      <w:r>
        <w:rPr>
          <w:rFonts w:ascii="Times New Roman" w:hAnsi="Times New Roman" w:eastAsia="宋体"/>
          <w:sz w:val="21"/>
        </w:rPr>
        <w:t xml:space="preserve">[12] Abdin, Marah, others. Phi-3 Technical Report: A Highly Capable Language Model Locally on Your Phone[J]. arXiv preprint arXiv:2404.14219, 2024.</w:t>
      </w:r>
      <w:r/>
    </w:p>
    <w:p>
      <w:pPr>
        <w:pBdr/>
        <w:spacing w:line="360" w:lineRule="auto"/>
        <w:ind/>
        <w:rPr/>
      </w:pPr>
      <w:r>
        <w:rPr>
          <w:rFonts w:ascii="Times New Roman" w:hAnsi="Times New Roman" w:eastAsia="宋体"/>
          <w:sz w:val="21"/>
        </w:rPr>
        <w:t xml:space="preserve">[13] Unknown. PhishAgent: A Robust Multimodal Agent for Phishing Webpage Detection[J]. , 2024.</w:t>
      </w:r>
      <w:r/>
    </w:p>
    <w:p>
      <w:pPr>
        <w:pBdr/>
        <w:spacing w:line="360" w:lineRule="auto"/>
        <w:ind/>
        <w:rPr/>
      </w:pPr>
      <w:r>
        <w:rPr>
          <w:rFonts w:ascii="Times New Roman" w:hAnsi="Times New Roman" w:eastAsia="宋体"/>
          <w:sz w:val="21"/>
        </w:rPr>
        <w:t xml:space="preserve">[14] Unknown. PhishLang: A Real-Time, Fully Client-Side Phishing Detection Framework Using MobileBERT[J]. , 2024.</w:t>
      </w:r>
      <w:r/>
    </w:p>
    <w:p>
      <w:pPr>
        <w:pBdr/>
        <w:spacing w:line="360" w:lineRule="auto"/>
        <w:ind/>
        <w:rPr/>
      </w:pPr>
      <w:r>
        <w:rPr>
          <w:rFonts w:ascii="Times New Roman" w:hAnsi="Times New Roman" w:eastAsia="宋体"/>
          <w:sz w:val="21"/>
        </w:rPr>
        <w:t>Dettmers、Pagnoni 等人 [15] 在 2023 年神经信息处理系统进展会议（NeurIPS）上介绍了 QLoRA，这是一种针对量化大语言模型（LLMs）的高效微调方法。</w:t>
      </w:r>
      <w:r/>
    </w:p>
    <w:p>
      <w:pPr>
        <w:pBdr/>
        <w:spacing w:line="360" w:lineRule="auto"/>
        <w:ind/>
        <w:rPr/>
      </w:pPr>
      <w:r>
        <w:rPr>
          <w:rFonts w:ascii="Times New Roman" w:hAnsi="Times New Roman" w:eastAsia="宋体"/>
          <w:sz w:val="21"/>
        </w:rPr>
        <w:t xml:space="preserve">[16] Yao, Shunyu, Zhao, Jeffrey, others. ReAct: Synergizing Reasoning and Acting in Language Models[C]. International Conference on Learning Representations (ICLR), 2023.</w:t>
      </w:r>
      <w:r/>
    </w:p>
    <w:p>
      <w:pPr>
        <w:pBdr/>
        <w:spacing w:line="360" w:lineRule="auto"/>
        <w:ind/>
        <w:rPr/>
      </w:pPr>
      <w:r>
        <w:rPr>
          <w:rFonts w:ascii="Times New Roman" w:hAnsi="Times New Roman" w:eastAsia="宋体"/>
          <w:sz w:val="21"/>
        </w:rPr>
        <w:t xml:space="preserve">[17] Lewis, Patrick, Perez, Ethan, others. Retrieval-Augmented Generation for Knowledge-Intensive NLP Tasks[C]. Advances in Neural Information Processing Systems (NeurIPS), 2020.</w:t>
      </w:r>
      <w:r/>
    </w:p>
    <w:p>
      <w:pPr>
        <w:pBdr/>
        <w:spacing w:line="360" w:lineRule="auto"/>
        <w:ind/>
        <w:rPr/>
      </w:pPr>
      <w:r>
        <w:rPr>
          <w:rFonts w:ascii="Times New Roman" w:hAnsi="Times New Roman" w:eastAsia="宋体"/>
          <w:sz w:val="21"/>
        </w:rPr>
        <w:t xml:space="preserve">[18] Li, Ziyang, others. ScamNet: Toward Explainable Large Language Model-Based Fraudulent Shopping Website Detection[J]. arXiv preprint arXiv:2404.14583, 2024.</w:t>
      </w:r>
      <w:r/>
    </w:p>
    <w:p>
      <w:pPr>
        <w:pBdr/>
        <w:spacing w:line="360" w:lineRule="auto"/>
        <w:ind/>
        <w:rPr/>
      </w:pPr>
      <w:r>
        <w:rPr>
          <w:rFonts w:ascii="Times New Roman" w:hAnsi="Times New Roman" w:eastAsia="宋体"/>
          <w:sz w:val="21"/>
        </w:rPr>
        <w:t xml:space="preserve">[19] Asai, Akari, Wu, Zeqiu, others. Self-RAG: Learning to Retrieve, Generate, and Critique through Self-Reflection[C]. International Conference on Learning Representations (ICLR), 2024.</w:t>
      </w:r>
      <w:r/>
    </w:p>
    <w:p>
      <w:pPr>
        <w:pBdr/>
        <w:spacing w:line="360" w:lineRule="auto"/>
        <w:ind/>
        <w:rPr/>
      </w:pPr>
      <w:r>
        <w:rPr>
          <w:rFonts w:ascii="Times New Roman" w:hAnsi="Times New Roman" w:eastAsia="宋体"/>
          <w:sz w:val="21"/>
        </w:rPr>
        <w:t>徐冰冰、岑科廷、黄俊捷等人在《计算机学报》2019年第42卷第2期上发表了《图卷积神经网络综述》，起止页码为353至374页。</w:t>
      </w:r>
      <w:r/>
    </w:p>
    <w:p>
      <w:pPr>
        <w:pBdr/>
        <w:spacing w:line="360" w:lineRule="auto"/>
        <w:ind/>
        <w:rPr/>
      </w:pPr>
      <w:r>
        <w:rPr>
          <w:rFonts w:ascii="Times New Roman" w:hAnsi="Times New Roman" w:eastAsia="宋体"/>
          <w:sz w:val="21"/>
        </w:rPr>
        <w:t>吴越、司斌州及孙海春等[21]提出了一种基于ConvQR的电信诈骗领域知识图谱补全方法，该研究成果发表于《数据分析与知识发现》2025年。</w:t>
      </w:r>
      <w:r/>
    </w:p>
    <w:p>
      <w:pPr>
        <w:pBdr/>
        <w:spacing w:line="360" w:lineRule="auto"/>
        <w:ind/>
        <w:rPr/>
      </w:pPr>
      <w:r>
        <w:rPr>
          <w:rFonts w:ascii="Times New Roman" w:hAnsi="Times New Roman" w:eastAsia="宋体"/>
          <w:sz w:val="21"/>
        </w:rPr>
        <w:t>Unknown [22] 于 2024 年在《自动化学报》上发表了关于基于多智能体强化学习的博弈综述。</w:t>
      </w:r>
      <w:r/>
    </w:p>
    <w:p>
      <w:pPr>
        <w:pBdr/>
        <w:spacing w:line="360" w:lineRule="auto"/>
        <w:ind/>
        <w:rPr/>
      </w:pPr>
      <w:r>
        <w:rPr>
          <w:rFonts w:ascii="Times New Roman" w:hAnsi="Times New Roman" w:eastAsia="宋体"/>
          <w:sz w:val="21"/>
        </w:rPr>
        <w:t>Unknown [23] 在2025年的《计算机工程与应用》期刊上发表了关于基于大型语言模型的检索增强生成的综述。</w:t>
      </w:r>
      <w:r/>
    </w:p>
    <w:p>
      <w:pPr>
        <w:pBdr/>
        <w:spacing w:line="360" w:lineRule="auto"/>
        <w:ind/>
        <w:rPr/>
      </w:pPr>
      <w:r>
        <w:rPr>
          <w:rFonts w:ascii="Times New Roman" w:hAnsi="Times New Roman" w:eastAsia="宋体"/>
          <w:sz w:val="21"/>
        </w:rPr>
        <w:t>文献[24]提出了一种融合深度学习与文本情感分析的上市公司财务舞弊识别方法，该研究发表于2021年。</w:t>
      </w:r>
      <w:r/>
    </w:p>
    <w:p>
      <w:pPr>
        <w:pBdr/>
        <w:spacing w:line="360" w:lineRule="auto"/>
        <w:ind/>
        <w:rPr/>
      </w:pPr>
      <w:r>
        <w:rPr>
          <w:rFonts w:ascii="Times New Roman" w:hAnsi="Times New Roman" w:eastAsia="宋体"/>
          <w:sz w:val="21"/>
        </w:rPr>
        <w:t>Unknown（2025）在文献[25]中对基于知识图谱的智能问答研究进行了综述。</w:t>
      </w:r>
      <w:r/>
    </w:p>
    <w:p>
      <w:pPr>
        <w:pBdr/>
        <w:spacing w:line="360" w:lineRule="auto"/>
        <w:ind/>
        <w:rPr/>
      </w:pPr>
      <w:r>
        <w:rPr>
          <w:rFonts w:ascii="Times New Roman" w:hAnsi="Times New Roman" w:eastAsia="宋体"/>
          <w:sz w:val="21"/>
        </w:rPr>
        <w:t>[26] Unknown. 基于网络流量的用户网络行为被害性分析模型[J]. 2019.</w:t>
      </w:r>
      <w:r/>
    </w:p>
    <w:p>
      <w:pPr>
        <w:pBdr/>
        <w:spacing w:line="360" w:lineRule="auto"/>
        <w:ind/>
        <w:rPr/>
      </w:pPr>
      <w:r>
        <w:rPr>
          <w:rFonts w:ascii="Times New Roman" w:hAnsi="Times New Roman" w:eastAsia="宋体"/>
          <w:sz w:val="21"/>
        </w:rPr>
        <w:t>秦家虎等人[27]从博弈与控制交叉的视角，对多智能体协同的研究进展进行了综述。</w:t>
      </w:r>
      <w:r/>
    </w:p>
    <w:p>
      <w:pPr>
        <w:pBdr/>
        <w:spacing w:line="360" w:lineRule="auto"/>
        <w:ind/>
        <w:rPr/>
      </w:pPr>
      <w:r>
        <w:rPr>
          <w:rFonts w:ascii="Times New Roman" w:hAnsi="Times New Roman" w:eastAsia="宋体"/>
          <w:sz w:val="21"/>
        </w:rPr>
        <w:t>Unknown[28]于2020年对多智能体强化学习控制与决策进行了综述。</w:t>
      </w:r>
      <w:r/>
    </w:p>
    <w:p>
      <w:pPr>
        <w:pBdr/>
        <w:spacing w:line="360" w:lineRule="auto"/>
        <w:ind/>
        <w:rPr/>
      </w:pPr>
      <w:r>
        <w:rPr>
          <w:rFonts w:ascii="Times New Roman" w:hAnsi="Times New Roman" w:eastAsia="宋体"/>
          <w:sz w:val="21"/>
        </w:rPr>
        <w:t>[29] 丁世飞, 等. 多智能体深度强化学习研究进展[J]. , 2024.</w:t>
      </w:r>
      <w:r/>
    </w:p>
    <w:p>
      <w:pPr>
        <w:pBdr/>
        <w:spacing w:line="360" w:lineRule="auto"/>
        <w:ind/>
        <w:rPr/>
      </w:pPr>
      <w:r>
        <w:rPr>
          <w:rFonts w:ascii="Times New Roman" w:hAnsi="Times New Roman" w:eastAsia="宋体"/>
          <w:sz w:val="21"/>
        </w:rPr>
        <w:t>王永威、沈弢、张圣宇等学者在《中国图象图形学报》2024年第29卷第6期（第1510至1534页）上，对大小模型端云协同进化技术进展进行了探讨[30]。</w:t>
      </w:r>
      <w:r/>
    </w:p>
    <w:p>
      <w:pPr>
        <w:pBdr/>
        <w:spacing w:line="360" w:lineRule="auto"/>
        <w:ind/>
        <w:rPr/>
      </w:pPr>
      <w:r>
        <w:rPr>
          <w:rFonts w:ascii="Times New Roman" w:hAnsi="Times New Roman" w:eastAsia="宋体"/>
          <w:sz w:val="21"/>
        </w:rPr>
        <w:t>吴璇和付涛（2025）在《计算机工程与应用》上发表了关于检索增强生成技术的综述文章[31]。</w:t>
      </w:r>
      <w:r/>
    </w:p>
    <w:p>
      <w:pPr>
        <w:pBdr/>
        <w:spacing w:line="360" w:lineRule="auto"/>
        <w:ind/>
        <w:rPr/>
      </w:pPr>
      <w:r>
        <w:rPr>
          <w:rFonts w:ascii="Times New Roman" w:hAnsi="Times New Roman" w:eastAsia="宋体"/>
          <w:sz w:val="21"/>
        </w:rPr>
        <w:t xml:space="preserve">[32] Unknown. 生成式人工智能驱动下电信网络诈骗受害风险影响因素量化分析[J]. , 2024.</w:t>
      </w:r>
      <w:r/>
    </w:p>
    <w:p>
      <w:pPr>
        <w:pBdr/>
        <w:spacing w:line="360" w:lineRule="auto"/>
        <w:ind/>
        <w:rPr/>
      </w:pPr>
      <w:r>
        <w:rPr>
          <w:rFonts w:ascii="Times New Roman" w:hAnsi="Times New Roman" w:eastAsia="宋体"/>
          <w:sz w:val="21"/>
        </w:rPr>
        <w:t>[33] Wang X, et al. 知识图谱划分算法研究综述[J]. 计算机学报, 2017.</w:t>
      </w:r>
      <w:r/>
    </w:p>
    <w:p>
      <w:pPr>
        <w:pBdr/>
        <w:spacing w:line="360" w:lineRule="auto"/>
        <w:ind/>
        <w:rPr/>
      </w:pPr>
      <w:r>
        <w:rPr>
          <w:rFonts w:ascii="Times New Roman" w:hAnsi="Times New Roman" w:eastAsia="宋体"/>
          <w:sz w:val="21"/>
        </w:rPr>
        <w:t>Unknown（2019）在文献[34]中开展了融合知识图谱的中文医疗问答社区自动问答研究。</w:t>
      </w:r>
      <w:r/>
    </w:p>
    <w:p>
      <w:pPr>
        <w:pBdr/>
        <w:spacing w:line="360" w:lineRule="auto"/>
        <w:ind/>
        <w:rPr/>
      </w:pPr>
      <w:r>
        <w:rPr>
          <w:rFonts w:ascii="Times New Roman" w:hAnsi="Times New Roman" w:eastAsia="宋体"/>
          <w:sz w:val="21"/>
        </w:rPr>
        <w:t>[35] 钱慎一, 付博文, 等. 面向知识图谱的问答技术研究综述[J]. 计算机工程与应用, 2025.</w:t>
      </w:r>
      <w:r/>
    </w:p>
    <w:p>
      <w:pPr>
        <w:pBdr/>
        <w:spacing/>
        <w:ind/>
        <w:rPr/>
      </w:pPr>
      <w:r/>
      <w:bookmarkEnd w:id="0"/>
      <w:r/>
    </w:p>
    <w:sectPr>
      <w:footerReference w:type="default" r:id="rId8"/>
      <w:footnotePr>
        <w:numFmt w:val="decimalEnclosedCircleChinese"/>
        <w:numRestart w:val="eachPage"/>
      </w:footnotePr>
      <w:endnotePr/>
      <w:type w:val="nextPage"/>
      <w:pgSz w:h="16838" w:orient="portrait" w:w="11906"/>
      <w:pgMar w:top="2041" w:right="1701" w:bottom="1417" w:left="1701" w:header="1134" w:footer="85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firstLine="480"/>
        <w:rPr/>
      </w:pPr>
      <w:r>
        <w:separator/>
      </w:r>
      <w:r/>
    </w:p>
  </w:endnote>
  <w:endnote w:type="continuationSeparator" w:id="0">
    <w:p>
      <w:pPr>
        <w:pBdr/>
        <w:spacing w:line="240" w:lineRule="auto"/>
        <w:ind w:firstLine="480"/>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Arial">
    <w:panose1 w:val="020B0604020202020204"/>
  </w:font>
  <w:font w:name="宋体">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firstLine="36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a:noFill/>
                      </a:ln>
                    </wps:spPr>
                    <wps:txbx>
                      <w:txbxContent>
                        <w:p>
                          <w:pPr>
                            <w:pBdr/>
                            <w:spacing/>
                            <w:ind w:firstLine="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r>
                        </w:p>
                      </w:txbxContent>
                    </wps:txbx>
                    <wps:bodyPr wrap="none" lIns="0" tIns="0" rIns="0" bIns="0" upright="0">
                      <a:spAutoFit/>
                    </wps:bodyPr>
                  </wps:wsp>
                </a:graphicData>
              </a:graphic>
            </wp:anchor>
          </w:drawing>
        </mc:Choice>
        <mc:Fallback>
          <w:pict>
            <v:shape id="shape 0" o:spid="_x0000_s0"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isibility:visible;" filled="f" stroked="f">
              <v:textbox inset="0,0,0,0">
                <w:txbxContent>
                  <w:p>
                    <w:pPr>
                      <w:pBdr/>
                      <w:spacing/>
                      <w:ind w:firstLine="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360" w:lineRule="auto"/>
        <w:ind w:firstLine="480"/>
        <w:rPr/>
      </w:pPr>
      <w:r>
        <w:separator/>
      </w:r>
      <w:r/>
    </w:p>
  </w:footnote>
  <w:footnote w:type="continuationSeparator" w:id="0">
    <w:p>
      <w:pPr>
        <w:pBdr/>
        <w:spacing w:line="360" w:lineRule="auto"/>
        <w:ind w:firstLine="480"/>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EnclosedCircleChinese"/>
    <w:numStart w:val="1"/>
    <w:numRestart w:val="eachPage"/>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36"/>
    <w:uiPriority w:val="59"/>
    <w:pPr>
      <w:pBdr/>
      <w:spacing w:after="0" w:line="240" w:lineRule="auto"/>
      <w:ind/>
    </w:pPr>
    <w:tblPr>
      <w:tblInd w:w="0" w:type="dxa"/>
      <w:tblBorders>
        <w:top w:val="single" w:color="dde4ed" w:sz="4" w:space="0"/>
        <w:left w:val="single" w:color="dde4ed" w:sz="4" w:space="0"/>
        <w:bottom w:val="single" w:color="dde4ed" w:sz="4" w:space="0"/>
        <w:right w:val="single" w:color="dde4ed" w:sz="4" w:space="0"/>
        <w:insideH w:val="single" w:color="dde4ed" w:sz="4" w:space="0"/>
        <w:insideV w:val="single" w:color="dde4ed"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 Accent 1"/>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4"/>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25db3" w:themeColor="accent1" w:themeTint="80" w:themeShade="95"/>
      </w:rPr>
      <w:pPr>
        <w:pBdr/>
        <w:spacing/>
        <w:ind/>
      </w:pPr>
      <w:tblPr>
        <w:tblBorders/>
      </w:tblPr>
      <w:tcPr>
        <w:tcBorders/>
      </w:tcPr>
    </w:tblStylePr>
    <w:tblStylePr w:type="firstRow">
      <w:rPr>
        <w:b/>
        <w:color w:val="325db3" w:themeColor="accent1" w:themeTint="80" w:themeShade="95"/>
      </w:rPr>
      <w:pPr>
        <w:pBdr/>
        <w:spacing/>
        <w:ind/>
      </w:pPr>
      <w:tblPr>
        <w:tblBorders/>
      </w:tblPr>
      <w:tcPr>
        <w:tcBorders>
          <w:bottom w:val="single" w:color="000000" w:themeColor="accent1" w:themeTint="80" w:sz="12" w:space="0"/>
        </w:tcBorders>
      </w:tcPr>
    </w:tblStylePr>
    <w:tblStylePr w:type="lastCol">
      <w:rPr>
        <w:b/>
        <w:color w:val="325db3" w:themeColor="accent1" w:themeTint="80" w:themeShade="95"/>
      </w:rPr>
      <w:pPr>
        <w:pBdr/>
        <w:spacing/>
        <w:ind/>
      </w:pPr>
      <w:tblPr>
        <w:tblBorders/>
      </w:tblPr>
      <w:tcPr>
        <w:tcBorders/>
      </w:tcPr>
    </w:tblStylePr>
    <w:tblStylePr w:type="lastRow">
      <w:rPr>
        <w:b/>
        <w:color w:val="325db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9a36" w:themeColor="accent4" w:themeTint="9A" w:themeShade="95"/>
      </w:rPr>
      <w:pPr>
        <w:pBdr/>
        <w:spacing/>
        <w:ind/>
      </w:pPr>
      <w:tblPr>
        <w:tblBorders/>
      </w:tblPr>
      <w:tcPr>
        <w:tcBorders/>
      </w:tcPr>
    </w:tblStylePr>
    <w:tblStylePr w:type="firstRow">
      <w:rPr>
        <w:b/>
        <w:color w:val="60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609a36" w:themeColor="accent4" w:themeTint="9A" w:themeShade="95"/>
      </w:rPr>
      <w:pPr>
        <w:pBdr/>
        <w:spacing/>
        <w:ind/>
      </w:pPr>
      <w:tblPr>
        <w:tblBorders/>
      </w:tblPr>
      <w:tcPr>
        <w:tcBorders/>
      </w:tcPr>
    </w:tblStylePr>
    <w:tblStylePr w:type="lastRow">
      <w:rPr>
        <w:b/>
        <w:color w:val="60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25db3"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25db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25db3"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25db3"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25db3"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25db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0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60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0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0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0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c01" w:themeColor="accent3" w:themeTint="98" w:themeShade="95"/>
      </w:rPr>
      <w:pPr>
        <w:pBdr/>
        <w:spacing/>
        <w:ind/>
      </w:pPr>
      <w:tblPr>
        <w:tblBorders/>
      </w:tblPr>
      <w:tcPr>
        <w:tcBorders/>
      </w:tcPr>
    </w:tblStylePr>
    <w:tblStylePr w:type="firstRow">
      <w:rPr>
        <w:b/>
        <w:color w:val="cc9c01" w:themeColor="accent3" w:themeTint="98" w:themeShade="95"/>
      </w:rPr>
      <w:pPr>
        <w:pBdr/>
        <w:spacing/>
        <w:ind/>
      </w:pPr>
      <w:tblPr>
        <w:tblBorders/>
      </w:tblPr>
      <w:tcPr>
        <w:tcBorders>
          <w:bottom w:val="single" w:color="000000" w:themeColor="accent3" w:themeTint="98" w:sz="4" w:space="0"/>
        </w:tcBorders>
      </w:tcPr>
    </w:tblStylePr>
    <w:tblStylePr w:type="lastCol">
      <w:rPr>
        <w:b/>
        <w:color w:val="cc9c01" w:themeColor="accent3" w:themeTint="98" w:themeShade="95"/>
      </w:rPr>
      <w:pPr>
        <w:pBdr/>
        <w:spacing/>
        <w:ind/>
      </w:pPr>
      <w:tblPr>
        <w:tblBorders/>
      </w:tblPr>
      <w:tcPr>
        <w:tcBorders/>
      </w:tcPr>
    </w:tblStylePr>
    <w:tblStylePr w:type="lastRow">
      <w:rPr>
        <w:b/>
        <w:color w:val="cc9c01"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9a36" w:themeColor="accent4" w:themeTint="9A" w:themeShade="95"/>
      </w:rPr>
      <w:pPr>
        <w:pBdr/>
        <w:spacing/>
        <w:ind/>
      </w:pPr>
      <w:tblPr>
        <w:tblBorders/>
      </w:tblPr>
      <w:tcPr>
        <w:tcBorders/>
      </w:tcPr>
    </w:tblStylePr>
    <w:tblStylePr w:type="firstRow">
      <w:rPr>
        <w:b/>
        <w:color w:val="609a36" w:themeColor="accent4" w:themeTint="9A" w:themeShade="95"/>
      </w:rPr>
      <w:pPr>
        <w:pBdr/>
        <w:spacing/>
        <w:ind/>
      </w:pPr>
      <w:tblPr>
        <w:tblBorders/>
      </w:tblPr>
      <w:tcPr>
        <w:tcBorders>
          <w:bottom w:val="single" w:color="000000" w:themeColor="accent4" w:themeTint="9A" w:sz="4" w:space="0"/>
        </w:tcBorders>
      </w:tcPr>
    </w:tblStylePr>
    <w:tblStylePr w:type="lastCol">
      <w:rPr>
        <w:b/>
        <w:color w:val="609a36" w:themeColor="accent4" w:themeTint="9A" w:themeShade="95"/>
      </w:rPr>
      <w:pPr>
        <w:pBdr/>
        <w:spacing/>
        <w:ind/>
      </w:pPr>
      <w:tblPr>
        <w:tblBorders/>
      </w:tblPr>
      <w:tcPr>
        <w:tcBorders/>
      </w:tcPr>
    </w:tblStylePr>
    <w:tblStylePr w:type="lastRow">
      <w:rPr>
        <w:b/>
        <w:color w:val="60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71c30" w:themeColor="accent6" w:themeTint="98" w:themeShade="95"/>
      </w:rPr>
      <w:pPr>
        <w:pBdr/>
        <w:spacing/>
        <w:ind/>
      </w:pPr>
      <w:tblPr>
        <w:tblBorders/>
      </w:tblPr>
      <w:tcPr>
        <w:tcBorders/>
      </w:tcPr>
    </w:tblStylePr>
    <w:tblStylePr w:type="firstRow">
      <w:rPr>
        <w:b/>
        <w:color w:val="c71c30" w:themeColor="accent6" w:themeTint="98" w:themeShade="95"/>
      </w:rPr>
      <w:pPr>
        <w:pBdr/>
        <w:spacing/>
        <w:ind/>
      </w:pPr>
      <w:tblPr>
        <w:tblBorders/>
      </w:tblPr>
      <w:tcPr>
        <w:tcBorders>
          <w:bottom w:val="single" w:color="000000" w:themeColor="accent6" w:themeTint="98" w:sz="4" w:space="0"/>
        </w:tcBorders>
      </w:tcPr>
    </w:tblStylePr>
    <w:tblStylePr w:type="lastCol">
      <w:rPr>
        <w:b/>
        <w:color w:val="c71c30" w:themeColor="accent6" w:themeTint="98" w:themeShade="95"/>
      </w:rPr>
      <w:pPr>
        <w:pBdr/>
        <w:spacing/>
        <w:ind/>
      </w:pPr>
      <w:tblPr>
        <w:tblBorders/>
      </w:tblPr>
      <w:tcPr>
        <w:tcBorders/>
      </w:tcPr>
    </w:tblStylePr>
    <w:tblStylePr w:type="lastRow">
      <w:rPr>
        <w:b/>
        <w:color w:val="c71c30"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1">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2">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c01"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c01"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c01"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c01"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c01"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c01"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c01" w:themeColor="accent3" w:themeTint="98" w:themeShade="95"/>
        <w:sz w:val="22"/>
      </w:rPr>
      <w:pPr>
        <w:pBdr/>
        <w:spacing/>
        <w:ind/>
      </w:pPr>
      <w:tblPr>
        <w:tblBorders/>
      </w:tblPr>
      <w:tcPr>
        <w:tcBorders/>
      </w:tcPr>
    </w:tblStylePr>
  </w:style>
  <w:style w:type="table" w:styleId="113">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0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60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0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0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0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09a36" w:themeColor="accent4" w:themeTint="9A" w:themeShade="95"/>
        <w:sz w:val="22"/>
      </w:rPr>
      <w:pPr>
        <w:pBdr/>
        <w:spacing/>
        <w:ind/>
      </w:pPr>
      <w:tblPr>
        <w:tblBorders/>
      </w:tblPr>
      <w:tcPr>
        <w:tcBorders/>
      </w:tcPr>
    </w:tblStylePr>
  </w:style>
  <w:style w:type="table" w:styleId="114">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5">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71c3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71c3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71c30"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71c30"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71c30"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71c30"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71c30" w:themeColor="accent6" w:themeTint="98" w:themeShade="95"/>
        <w:sz w:val="22"/>
      </w:rPr>
      <w:pPr>
        <w:pBdr/>
        <w:spacing/>
        <w:ind/>
      </w:pPr>
      <w:tblPr>
        <w:tblBorders/>
      </w:tblPr>
      <w:tcPr>
        <w:tcBorders/>
      </w:tcPr>
    </w:tblStylePr>
  </w:style>
  <w:style w:type="table" w:styleId="116">
    <w:name w:val="Lined - Accent"/>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4"/>
    <w:basedOn w:val="731"/>
    <w:next w:val="731"/>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31"/>
    <w:next w:val="731"/>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31"/>
    <w:next w:val="731"/>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31"/>
    <w:next w:val="731"/>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31"/>
    <w:next w:val="731"/>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31"/>
    <w:next w:val="731"/>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8" w:default="1">
    <w:name w:val="No List"/>
    <w:uiPriority w:val="99"/>
    <w:semiHidden/>
    <w:unhideWhenUsed/>
    <w:pPr>
      <w:pBdr/>
      <w:spacing/>
      <w:ind/>
    </w:pPr>
  </w:style>
  <w:style w:type="character" w:styleId="149">
    <w:name w:val="Heading 1 Char"/>
    <w:basedOn w:val="735"/>
    <w:link w:val="732"/>
    <w:uiPriority w:val="9"/>
    <w:pPr>
      <w:pBdr/>
      <w:spacing/>
      <w:ind/>
    </w:pPr>
    <w:rPr>
      <w:rFonts w:ascii="Arial" w:hAnsi="Arial" w:eastAsia="Arial" w:cs="Arial"/>
      <w:color w:val="0f4761" w:themeColor="accent1" w:themeShade="BF"/>
      <w:sz w:val="40"/>
      <w:szCs w:val="40"/>
    </w:rPr>
  </w:style>
  <w:style w:type="character" w:styleId="150">
    <w:name w:val="Heading 2 Char"/>
    <w:basedOn w:val="735"/>
    <w:link w:val="733"/>
    <w:uiPriority w:val="9"/>
    <w:pPr>
      <w:pBdr/>
      <w:spacing/>
      <w:ind/>
    </w:pPr>
    <w:rPr>
      <w:rFonts w:ascii="Arial" w:hAnsi="Arial" w:eastAsia="Arial" w:cs="Arial"/>
      <w:color w:val="0f4761" w:themeColor="accent1" w:themeShade="BF"/>
      <w:sz w:val="32"/>
      <w:szCs w:val="32"/>
    </w:rPr>
  </w:style>
  <w:style w:type="character" w:styleId="151">
    <w:name w:val="Heading 3 Char"/>
    <w:basedOn w:val="735"/>
    <w:link w:val="734"/>
    <w:uiPriority w:val="9"/>
    <w:pPr>
      <w:pBdr/>
      <w:spacing/>
      <w:ind/>
    </w:pPr>
    <w:rPr>
      <w:rFonts w:ascii="Arial" w:hAnsi="Arial" w:eastAsia="Arial" w:cs="Arial"/>
      <w:color w:val="0f4761" w:themeColor="accent1" w:themeShade="BF"/>
      <w:sz w:val="28"/>
      <w:szCs w:val="28"/>
    </w:rPr>
  </w:style>
  <w:style w:type="character" w:styleId="152">
    <w:name w:val="Heading 4 Char"/>
    <w:basedOn w:val="735"/>
    <w:link w:val="141"/>
    <w:uiPriority w:val="9"/>
    <w:pPr>
      <w:pBdr/>
      <w:spacing/>
      <w:ind/>
    </w:pPr>
    <w:rPr>
      <w:rFonts w:ascii="Arial" w:hAnsi="Arial" w:eastAsia="Arial" w:cs="Arial"/>
      <w:i/>
      <w:iCs/>
      <w:color w:val="0f4761" w:themeColor="accent1" w:themeShade="BF"/>
    </w:rPr>
  </w:style>
  <w:style w:type="character" w:styleId="153">
    <w:name w:val="Heading 5 Char"/>
    <w:basedOn w:val="735"/>
    <w:link w:val="142"/>
    <w:uiPriority w:val="9"/>
    <w:pPr>
      <w:pBdr/>
      <w:spacing/>
      <w:ind/>
    </w:pPr>
    <w:rPr>
      <w:rFonts w:ascii="Arial" w:hAnsi="Arial" w:eastAsia="Arial" w:cs="Arial"/>
      <w:color w:val="0f4761" w:themeColor="accent1" w:themeShade="BF"/>
    </w:rPr>
  </w:style>
  <w:style w:type="character" w:styleId="154">
    <w:name w:val="Heading 6 Char"/>
    <w:basedOn w:val="735"/>
    <w:link w:val="143"/>
    <w:uiPriority w:val="9"/>
    <w:pPr>
      <w:pBdr/>
      <w:spacing/>
      <w:ind/>
    </w:pPr>
    <w:rPr>
      <w:rFonts w:ascii="Arial" w:hAnsi="Arial" w:eastAsia="Arial" w:cs="Arial"/>
      <w:i/>
      <w:iCs/>
      <w:color w:val="595959" w:themeColor="text1" w:themeTint="A6"/>
    </w:rPr>
  </w:style>
  <w:style w:type="character" w:styleId="155">
    <w:name w:val="Heading 7 Char"/>
    <w:basedOn w:val="735"/>
    <w:link w:val="144"/>
    <w:uiPriority w:val="9"/>
    <w:pPr>
      <w:pBdr/>
      <w:spacing/>
      <w:ind/>
    </w:pPr>
    <w:rPr>
      <w:rFonts w:ascii="Arial" w:hAnsi="Arial" w:eastAsia="Arial" w:cs="Arial"/>
      <w:color w:val="595959" w:themeColor="text1" w:themeTint="A6"/>
    </w:rPr>
  </w:style>
  <w:style w:type="character" w:styleId="156">
    <w:name w:val="Heading 8 Char"/>
    <w:basedOn w:val="735"/>
    <w:link w:val="145"/>
    <w:uiPriority w:val="9"/>
    <w:pPr>
      <w:pBdr/>
      <w:spacing/>
      <w:ind/>
    </w:pPr>
    <w:rPr>
      <w:rFonts w:ascii="Arial" w:hAnsi="Arial" w:eastAsia="Arial" w:cs="Arial"/>
      <w:i/>
      <w:iCs/>
      <w:color w:val="272727" w:themeColor="text1" w:themeTint="D8"/>
    </w:rPr>
  </w:style>
  <w:style w:type="character" w:styleId="157">
    <w:name w:val="Heading 9 Char"/>
    <w:basedOn w:val="735"/>
    <w:link w:val="146"/>
    <w:uiPriority w:val="9"/>
    <w:pPr>
      <w:pBdr/>
      <w:spacing/>
      <w:ind/>
    </w:pPr>
    <w:rPr>
      <w:rFonts w:ascii="Arial" w:hAnsi="Arial" w:eastAsia="Arial" w:cs="Arial"/>
      <w:i/>
      <w:iCs/>
      <w:color w:val="272727" w:themeColor="text1" w:themeTint="D8"/>
    </w:rPr>
  </w:style>
  <w:style w:type="paragraph" w:styleId="158">
    <w:name w:val="Title"/>
    <w:basedOn w:val="731"/>
    <w:next w:val="731"/>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35"/>
    <w:link w:val="158"/>
    <w:uiPriority w:val="10"/>
    <w:pPr>
      <w:pBdr/>
      <w:spacing/>
      <w:ind/>
    </w:pPr>
    <w:rPr>
      <w:rFonts w:ascii="Arial" w:hAnsi="Arial" w:eastAsia="Arial" w:cs="Arial"/>
      <w:spacing w:val="-10"/>
      <w:sz w:val="56"/>
      <w:szCs w:val="56"/>
    </w:rPr>
  </w:style>
  <w:style w:type="paragraph" w:styleId="160">
    <w:name w:val="Subtitle"/>
    <w:basedOn w:val="731"/>
    <w:next w:val="731"/>
    <w:link w:val="161"/>
    <w:uiPriority w:val="11"/>
    <w:qFormat/>
    <w:pPr>
      <w:numPr>
        <w:ilvl w:val="1"/>
      </w:numPr>
      <w:pBdr/>
      <w:spacing/>
      <w:ind/>
    </w:pPr>
    <w:rPr>
      <w:color w:val="595959" w:themeColor="text1" w:themeTint="A6"/>
      <w:spacing w:val="15"/>
      <w:sz w:val="28"/>
      <w:szCs w:val="28"/>
    </w:rPr>
  </w:style>
  <w:style w:type="character" w:styleId="161">
    <w:name w:val="Subtitle Char"/>
    <w:basedOn w:val="735"/>
    <w:link w:val="160"/>
    <w:uiPriority w:val="11"/>
    <w:pPr>
      <w:pBdr/>
      <w:spacing/>
      <w:ind/>
    </w:pPr>
    <w:rPr>
      <w:color w:val="595959" w:themeColor="text1" w:themeTint="A6"/>
      <w:spacing w:val="15"/>
      <w:sz w:val="28"/>
      <w:szCs w:val="28"/>
    </w:rPr>
  </w:style>
  <w:style w:type="paragraph" w:styleId="162">
    <w:name w:val="Quote"/>
    <w:basedOn w:val="731"/>
    <w:next w:val="731"/>
    <w:link w:val="163"/>
    <w:uiPriority w:val="29"/>
    <w:qFormat/>
    <w:pPr>
      <w:pBdr/>
      <w:spacing w:before="160"/>
      <w:ind/>
      <w:jc w:val="center"/>
    </w:pPr>
    <w:rPr>
      <w:i/>
      <w:iCs/>
      <w:color w:val="404040" w:themeColor="text1" w:themeTint="BF"/>
    </w:rPr>
  </w:style>
  <w:style w:type="character" w:styleId="163">
    <w:name w:val="Quote Char"/>
    <w:basedOn w:val="735"/>
    <w:link w:val="162"/>
    <w:uiPriority w:val="29"/>
    <w:pPr>
      <w:pBdr/>
      <w:spacing/>
      <w:ind/>
    </w:pPr>
    <w:rPr>
      <w:i/>
      <w:iCs/>
      <w:color w:val="404040" w:themeColor="text1" w:themeTint="BF"/>
    </w:rPr>
  </w:style>
  <w:style w:type="paragraph" w:styleId="164">
    <w:name w:val="List Paragraph"/>
    <w:basedOn w:val="731"/>
    <w:uiPriority w:val="34"/>
    <w:qFormat/>
    <w:pPr>
      <w:pBdr/>
      <w:spacing/>
      <w:ind w:left="720"/>
      <w:contextualSpacing w:val="true"/>
    </w:pPr>
  </w:style>
  <w:style w:type="character" w:styleId="165">
    <w:name w:val="Intense Emphasis"/>
    <w:basedOn w:val="735"/>
    <w:uiPriority w:val="21"/>
    <w:qFormat/>
    <w:pPr>
      <w:pBdr/>
      <w:spacing/>
      <w:ind/>
    </w:pPr>
    <w:rPr>
      <w:i/>
      <w:iCs/>
      <w:color w:val="0f4761" w:themeColor="accent1" w:themeShade="BF"/>
    </w:rPr>
  </w:style>
  <w:style w:type="paragraph" w:styleId="166">
    <w:name w:val="Intense Quote"/>
    <w:basedOn w:val="731"/>
    <w:next w:val="731"/>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35"/>
    <w:link w:val="166"/>
    <w:uiPriority w:val="30"/>
    <w:pPr>
      <w:pBdr/>
      <w:spacing/>
      <w:ind/>
    </w:pPr>
    <w:rPr>
      <w:i/>
      <w:iCs/>
      <w:color w:val="0f4761" w:themeColor="accent1" w:themeShade="BF"/>
    </w:rPr>
  </w:style>
  <w:style w:type="character" w:styleId="168">
    <w:name w:val="Intense Reference"/>
    <w:basedOn w:val="735"/>
    <w:uiPriority w:val="32"/>
    <w:qFormat/>
    <w:pPr>
      <w:pBdr/>
      <w:spacing/>
      <w:ind/>
    </w:pPr>
    <w:rPr>
      <w:b/>
      <w:bCs/>
      <w:smallCaps/>
      <w:color w:val="0f4761" w:themeColor="accent1" w:themeShade="BF"/>
      <w:spacing w:val="5"/>
    </w:rPr>
  </w:style>
  <w:style w:type="paragraph" w:styleId="169">
    <w:name w:val="No Spacing"/>
    <w:basedOn w:val="731"/>
    <w:uiPriority w:val="1"/>
    <w:qFormat/>
    <w:pPr>
      <w:pBdr/>
      <w:spacing w:after="0" w:line="240" w:lineRule="auto"/>
      <w:ind/>
    </w:pPr>
  </w:style>
  <w:style w:type="character" w:styleId="170">
    <w:name w:val="Subtle Emphasis"/>
    <w:basedOn w:val="735"/>
    <w:uiPriority w:val="19"/>
    <w:qFormat/>
    <w:pPr>
      <w:pBdr/>
      <w:spacing/>
      <w:ind/>
    </w:pPr>
    <w:rPr>
      <w:i/>
      <w:iCs/>
      <w:color w:val="404040" w:themeColor="text1" w:themeTint="BF"/>
    </w:rPr>
  </w:style>
  <w:style w:type="character" w:styleId="171">
    <w:name w:val="Emphasis"/>
    <w:basedOn w:val="735"/>
    <w:uiPriority w:val="20"/>
    <w:qFormat/>
    <w:pPr>
      <w:pBdr/>
      <w:spacing/>
      <w:ind/>
    </w:pPr>
    <w:rPr>
      <w:i/>
      <w:iCs/>
    </w:rPr>
  </w:style>
  <w:style w:type="character" w:styleId="172">
    <w:name w:val="Strong"/>
    <w:basedOn w:val="735"/>
    <w:uiPriority w:val="22"/>
    <w:qFormat/>
    <w:pPr>
      <w:pBdr/>
      <w:spacing/>
      <w:ind/>
    </w:pPr>
    <w:rPr>
      <w:b/>
      <w:bCs/>
    </w:rPr>
  </w:style>
  <w:style w:type="character" w:styleId="173">
    <w:name w:val="Subtle Reference"/>
    <w:basedOn w:val="735"/>
    <w:uiPriority w:val="31"/>
    <w:qFormat/>
    <w:pPr>
      <w:pBdr/>
      <w:spacing/>
      <w:ind/>
    </w:pPr>
    <w:rPr>
      <w:smallCaps/>
      <w:color w:val="5a5a5a" w:themeColor="text1" w:themeTint="A5"/>
    </w:rPr>
  </w:style>
  <w:style w:type="character" w:styleId="174">
    <w:name w:val="Book Title"/>
    <w:basedOn w:val="735"/>
    <w:uiPriority w:val="33"/>
    <w:qFormat/>
    <w:pPr>
      <w:pBdr/>
      <w:spacing/>
      <w:ind/>
    </w:pPr>
    <w:rPr>
      <w:b/>
      <w:bCs/>
      <w:i/>
      <w:iCs/>
      <w:spacing w:val="5"/>
    </w:rPr>
  </w:style>
  <w:style w:type="paragraph" w:styleId="175">
    <w:name w:val="Header"/>
    <w:basedOn w:val="731"/>
    <w:link w:val="176"/>
    <w:uiPriority w:val="99"/>
    <w:unhideWhenUsed/>
    <w:pPr>
      <w:pBdr/>
      <w:tabs>
        <w:tab w:val="center" w:leader="none" w:pos="4844"/>
        <w:tab w:val="right" w:leader="none" w:pos="9689"/>
      </w:tabs>
      <w:spacing w:after="0" w:line="240" w:lineRule="auto"/>
      <w:ind/>
    </w:pPr>
  </w:style>
  <w:style w:type="character" w:styleId="176">
    <w:name w:val="Header Char"/>
    <w:basedOn w:val="735"/>
    <w:link w:val="175"/>
    <w:uiPriority w:val="99"/>
    <w:pPr>
      <w:pBdr/>
      <w:spacing/>
      <w:ind/>
    </w:pPr>
  </w:style>
  <w:style w:type="character" w:styleId="178">
    <w:name w:val="Footer Char"/>
    <w:basedOn w:val="735"/>
    <w:link w:val="737"/>
    <w:uiPriority w:val="99"/>
    <w:pPr>
      <w:pBdr/>
      <w:spacing/>
      <w:ind/>
    </w:pPr>
  </w:style>
  <w:style w:type="paragraph" w:styleId="179">
    <w:name w:val="Caption"/>
    <w:basedOn w:val="731"/>
    <w:next w:val="731"/>
    <w:uiPriority w:val="35"/>
    <w:unhideWhenUsed/>
    <w:qFormat/>
    <w:pPr>
      <w:pBdr/>
      <w:spacing w:after="200" w:line="240" w:lineRule="auto"/>
      <w:ind/>
    </w:pPr>
    <w:rPr>
      <w:i/>
      <w:iCs/>
      <w:color w:val="0e2841" w:themeColor="text2"/>
      <w:sz w:val="18"/>
      <w:szCs w:val="18"/>
    </w:rPr>
  </w:style>
  <w:style w:type="paragraph" w:styleId="180">
    <w:name w:val="footnote text"/>
    <w:basedOn w:val="731"/>
    <w:link w:val="181"/>
    <w:uiPriority w:val="99"/>
    <w:semiHidden/>
    <w:unhideWhenUsed/>
    <w:pPr>
      <w:pBdr/>
      <w:spacing w:after="0" w:line="240" w:lineRule="auto"/>
      <w:ind/>
    </w:pPr>
    <w:rPr>
      <w:sz w:val="20"/>
      <w:szCs w:val="20"/>
    </w:rPr>
  </w:style>
  <w:style w:type="character" w:styleId="181">
    <w:name w:val="Footnote Text Char"/>
    <w:basedOn w:val="735"/>
    <w:link w:val="180"/>
    <w:uiPriority w:val="99"/>
    <w:semiHidden/>
    <w:pPr>
      <w:pBdr/>
      <w:spacing/>
      <w:ind/>
    </w:pPr>
    <w:rPr>
      <w:sz w:val="20"/>
      <w:szCs w:val="20"/>
    </w:rPr>
  </w:style>
  <w:style w:type="character" w:styleId="182">
    <w:name w:val="footnote reference"/>
    <w:basedOn w:val="735"/>
    <w:uiPriority w:val="99"/>
    <w:semiHidden/>
    <w:unhideWhenUsed/>
    <w:pPr>
      <w:pBdr/>
      <w:spacing/>
      <w:ind/>
    </w:pPr>
    <w:rPr>
      <w:vertAlign w:val="superscript"/>
    </w:rPr>
  </w:style>
  <w:style w:type="paragraph" w:styleId="183">
    <w:name w:val="endnote text"/>
    <w:basedOn w:val="731"/>
    <w:link w:val="184"/>
    <w:uiPriority w:val="99"/>
    <w:semiHidden/>
    <w:unhideWhenUsed/>
    <w:pPr>
      <w:pBdr/>
      <w:spacing w:after="0" w:line="240" w:lineRule="auto"/>
      <w:ind/>
    </w:pPr>
    <w:rPr>
      <w:sz w:val="20"/>
      <w:szCs w:val="20"/>
    </w:rPr>
  </w:style>
  <w:style w:type="character" w:styleId="184">
    <w:name w:val="Endnote Text Char"/>
    <w:basedOn w:val="735"/>
    <w:link w:val="183"/>
    <w:uiPriority w:val="99"/>
    <w:semiHidden/>
    <w:pPr>
      <w:pBdr/>
      <w:spacing/>
      <w:ind/>
    </w:pPr>
    <w:rPr>
      <w:sz w:val="20"/>
      <w:szCs w:val="20"/>
    </w:rPr>
  </w:style>
  <w:style w:type="character" w:styleId="185">
    <w:name w:val="endnote reference"/>
    <w:basedOn w:val="735"/>
    <w:uiPriority w:val="99"/>
    <w:semiHidden/>
    <w:unhideWhenUsed/>
    <w:pPr>
      <w:pBdr/>
      <w:spacing/>
      <w:ind/>
    </w:pPr>
    <w:rPr>
      <w:vertAlign w:val="superscript"/>
    </w:rPr>
  </w:style>
  <w:style w:type="character" w:styleId="186">
    <w:name w:val="Hyperlink"/>
    <w:basedOn w:val="735"/>
    <w:uiPriority w:val="99"/>
    <w:unhideWhenUsed/>
    <w:pPr>
      <w:pBdr/>
      <w:spacing/>
      <w:ind/>
    </w:pPr>
    <w:rPr>
      <w:color w:val="0563c1" w:themeColor="hyperlink"/>
      <w:u w:val="single"/>
    </w:rPr>
  </w:style>
  <w:style w:type="character" w:styleId="187">
    <w:name w:val="FollowedHyperlink"/>
    <w:basedOn w:val="735"/>
    <w:uiPriority w:val="99"/>
    <w:semiHidden/>
    <w:unhideWhenUsed/>
    <w:pPr>
      <w:pBdr/>
      <w:spacing/>
      <w:ind/>
    </w:pPr>
    <w:rPr>
      <w:color w:val="954f72" w:themeColor="followedHyperlink"/>
      <w:u w:val="single"/>
    </w:rPr>
  </w:style>
  <w:style w:type="paragraph" w:styleId="188">
    <w:name w:val="toc 1"/>
    <w:basedOn w:val="731"/>
    <w:next w:val="731"/>
    <w:uiPriority w:val="39"/>
    <w:unhideWhenUsed/>
    <w:pPr>
      <w:pBdr/>
      <w:spacing w:after="100"/>
      <w:ind/>
    </w:pPr>
  </w:style>
  <w:style w:type="paragraph" w:styleId="189">
    <w:name w:val="toc 2"/>
    <w:basedOn w:val="731"/>
    <w:next w:val="731"/>
    <w:uiPriority w:val="39"/>
    <w:unhideWhenUsed/>
    <w:pPr>
      <w:pBdr/>
      <w:spacing w:after="100"/>
      <w:ind w:left="220"/>
    </w:pPr>
  </w:style>
  <w:style w:type="paragraph" w:styleId="190">
    <w:name w:val="toc 3"/>
    <w:basedOn w:val="731"/>
    <w:next w:val="731"/>
    <w:uiPriority w:val="39"/>
    <w:unhideWhenUsed/>
    <w:pPr>
      <w:pBdr/>
      <w:spacing w:after="100"/>
      <w:ind w:left="440"/>
    </w:pPr>
  </w:style>
  <w:style w:type="paragraph" w:styleId="191">
    <w:name w:val="toc 4"/>
    <w:basedOn w:val="731"/>
    <w:next w:val="731"/>
    <w:uiPriority w:val="39"/>
    <w:unhideWhenUsed/>
    <w:pPr>
      <w:pBdr/>
      <w:spacing w:after="100"/>
      <w:ind w:left="660"/>
    </w:pPr>
  </w:style>
  <w:style w:type="paragraph" w:styleId="192">
    <w:name w:val="toc 5"/>
    <w:basedOn w:val="731"/>
    <w:next w:val="731"/>
    <w:uiPriority w:val="39"/>
    <w:unhideWhenUsed/>
    <w:pPr>
      <w:pBdr/>
      <w:spacing w:after="100"/>
      <w:ind w:left="880"/>
    </w:pPr>
  </w:style>
  <w:style w:type="paragraph" w:styleId="193">
    <w:name w:val="toc 6"/>
    <w:basedOn w:val="731"/>
    <w:next w:val="731"/>
    <w:uiPriority w:val="39"/>
    <w:unhideWhenUsed/>
    <w:pPr>
      <w:pBdr/>
      <w:spacing w:after="100"/>
      <w:ind w:left="1100"/>
    </w:pPr>
  </w:style>
  <w:style w:type="paragraph" w:styleId="194">
    <w:name w:val="toc 7"/>
    <w:basedOn w:val="731"/>
    <w:next w:val="731"/>
    <w:uiPriority w:val="39"/>
    <w:unhideWhenUsed/>
    <w:pPr>
      <w:pBdr/>
      <w:spacing w:after="100"/>
      <w:ind w:left="1320"/>
    </w:pPr>
  </w:style>
  <w:style w:type="paragraph" w:styleId="195">
    <w:name w:val="toc 8"/>
    <w:basedOn w:val="731"/>
    <w:next w:val="731"/>
    <w:uiPriority w:val="39"/>
    <w:unhideWhenUsed/>
    <w:pPr>
      <w:pBdr/>
      <w:spacing w:after="100"/>
      <w:ind w:left="1540"/>
    </w:pPr>
  </w:style>
  <w:style w:type="paragraph" w:styleId="196">
    <w:name w:val="toc 9"/>
    <w:basedOn w:val="731"/>
    <w:next w:val="731"/>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1"/>
    <w:next w:val="731"/>
    <w:uiPriority w:val="99"/>
    <w:unhideWhenUsed/>
    <w:pPr>
      <w:pBdr/>
      <w:spacing w:after="0" w:afterAutospacing="0"/>
      <w:ind/>
    </w:pPr>
  </w:style>
  <w:style w:type="paragraph" w:styleId="731" w:default="1">
    <w:name w:val="Normal"/>
    <w:uiPriority w:val="0"/>
    <w:qFormat/>
    <w:pPr>
      <w:widowControl w:val="false"/>
      <w:pBdr/>
      <w:spacing w:line="360" w:lineRule="auto"/>
      <w:ind w:firstLine="480"/>
      <w:jc w:val="both"/>
    </w:pPr>
    <w:rPr>
      <w:rFonts w:ascii="Times New Roman" w:hAnsi="Times New Roman" w:eastAsia="宋体" w:cs="Times New Roman"/>
      <w:sz w:val="24"/>
      <w:szCs w:val="24"/>
      <w:lang w:val="en-US" w:eastAsia="zh-CN" w:bidi="ar-SA"/>
    </w:rPr>
  </w:style>
  <w:style w:type="paragraph" w:styleId="732">
    <w:name w:val="Heading 1"/>
    <w:basedOn w:val="731"/>
    <w:next w:val="731"/>
    <w:uiPriority w:val="9"/>
    <w:qFormat/>
    <w:pPr>
      <w:keepNext w:val="true"/>
      <w:keepLines w:val="true"/>
      <w:pBdr/>
      <w:spacing w:after="330" w:afterAutospacing="0" w:before="340" w:beforeAutospacing="0" w:line="576" w:lineRule="auto"/>
      <w:ind w:firstLine="0"/>
      <w:jc w:val="left"/>
      <w:outlineLvl w:val="0"/>
    </w:pPr>
    <w:rPr>
      <w:rFonts w:eastAsia="黑体"/>
      <w:sz w:val="36"/>
    </w:rPr>
  </w:style>
  <w:style w:type="paragraph" w:styleId="733">
    <w:name w:val="Heading 2"/>
    <w:basedOn w:val="731"/>
    <w:next w:val="731"/>
    <w:uiPriority w:val="9"/>
    <w:qFormat/>
    <w:pPr>
      <w:keepNext w:val="true"/>
      <w:keepLines w:val="true"/>
      <w:pBdr/>
      <w:spacing w:after="260" w:afterAutospacing="0" w:before="260" w:beforeAutospacing="0" w:line="413" w:lineRule="auto"/>
      <w:ind w:firstLine="0"/>
      <w:outlineLvl w:val="1"/>
    </w:pPr>
    <w:rPr>
      <w:rFonts w:ascii="Arial" w:hAnsi="Arial" w:eastAsia="黑体"/>
      <w:sz w:val="32"/>
    </w:rPr>
  </w:style>
  <w:style w:type="paragraph" w:styleId="734">
    <w:name w:val="Heading 3"/>
    <w:basedOn w:val="731"/>
    <w:next w:val="731"/>
    <w:uiPriority w:val="9"/>
    <w:qFormat/>
    <w:pPr>
      <w:keepNext w:val="true"/>
      <w:keepLines w:val="true"/>
      <w:pBdr/>
      <w:spacing w:after="260" w:afterAutospacing="0" w:before="260" w:beforeAutospacing="0" w:line="413" w:lineRule="auto"/>
      <w:ind w:firstLine="0"/>
      <w:outlineLvl w:val="2"/>
    </w:pPr>
    <w:rPr>
      <w:rFonts w:eastAsia="黑体"/>
      <w:sz w:val="30"/>
    </w:rPr>
  </w:style>
  <w:style w:type="character" w:styleId="735" w:default="1">
    <w:name w:val="Default Paragraph Font"/>
    <w:uiPriority w:val="0"/>
    <w:semiHidden/>
    <w:qFormat/>
    <w:pPr>
      <w:pBdr/>
      <w:spacing/>
      <w:ind/>
    </w:pPr>
  </w:style>
  <w:style w:type="table" w:styleId="736" w:default="1">
    <w:name w:val="Normal Table"/>
    <w:uiPriority w:val="0"/>
    <w:semiHidden/>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name w:val="Footer"/>
    <w:basedOn w:val="731"/>
    <w:uiPriority w:val="0"/>
    <w:unhideWhenUsed/>
    <w:qFormat/>
    <w:pPr>
      <w:pBdr/>
      <w:tabs>
        <w:tab w:val="center" w:leader="none" w:pos="4153"/>
        <w:tab w:val="right" w:leader="none" w:pos="8306"/>
      </w:tabs>
      <w:spacing/>
      <w:ind/>
      <w:jc w:val="left"/>
    </w:pPr>
    <w:rPr>
      <w:sz w:val="18"/>
      <w:szCs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Baidu Wenku</Application>
  <DocSecurity>0</DocSecurity>
  <ScaleCrop>0</ScaleCrop>
  <LinksUpToDate>0</LinksUpToDate>
  <TotalTime>10</TotalTime>
  <Pages>5</Pages>
  <Words>7504</Words>
  <Characters>15009</Characters>
  <CharactersWithSpaces>16677</CharactersWithSpaces>
  <Paragraphs>15</Paragraphs>
  <Lines>30</Lines>
  <AppVersion>16.0000</AppVersion>
  <Company>Baidu</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wenku</dc:creator>
  <cp:lastModifiedBy>情丶傻瓜</cp:lastModifiedBy>
  <cp:revision>1</cp:revision>
  <dcterms:created xsi:type="dcterms:W3CDTF">2026-03-30T02:22:01Z</dcterms:created>
  <dcterms:modified xsi:type="dcterms:W3CDTF">2026-03-30T02:22:01Z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73E12FA6729041D18D5FA7CC44A4F7B4_13</vt:lpwstr>
  </property>
  <property fmtid="{D5CDD505-2E9C-101B-9397-08002B2CF9AE}" pid="4" name="KSOTemplateDocerSaveRecord">
    <vt:lpwstr>eyJoZGlkIjoiN2YzNjBkOTgyNWQ1YTMxYzM3MzMwNWFiODNmOWIzYWMiLCJ1c2VySWQiOiI4MDk1NDE2MjEifQ==</vt:lpwstr>
  </property>
</Properties>
</file>