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7vmf1vnxzr2s" w:id="0"/>
      <w:bookmarkEnd w:id="0"/>
      <w:r w:rsidDel="00000000" w:rsidR="00000000" w:rsidRPr="00000000">
        <w:rPr>
          <w:rtl w:val="0"/>
        </w:rPr>
        <w:t xml:space="preserve">Mesadas de granito Caso de prueba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Este caso de prueba confronta dos estrategias de solución.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 mesadas ya están rotadas y ordenadas por largo.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primero se ordena y se van haciendo pilas desde la menor a la mayor, da como resultado dos pilas.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se comparan todas contra todas y tomamos como base de las pilas a aquellas mesadas que no son apilables sobre ninguna, solo la mesada 14 9 quedaría como única base, dando como resultado que se puede formar una pila que las contenga a todas, lo cual es incorrecto.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resultado son 2 pilas y el segundo algoritmo falla.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 aquí un caso de prueba que revienta el algoritmo de recorrer ordenado  sumando pilas a medida que no se puede apilar: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ordenado de menor a mayor por largo quedaría: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pilas ----&gt; INCORRECTO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Forma correcta de resolverlo (por lo menos hasta que la revienten con algún caso de prueba)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orden para recorrerlas puede ser por mayor largo o por mayor superficie, en los casos planteados ambos criterios funcionaron.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Elegir las mesadas que no se pueden apilar sobre otras, y comenzar por cualquiera de estas, por ejemplo 12 1 y apilar sobre esta las que sean posibles, cuando no se puede hacer una nueva pila.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2  1     2 2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3  1     7 2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12 1      9 3    5 4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