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20979" w:rsidRPr="005B6FE0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EF8E79C7FA734EB2BB3338D1E6B02823"/>
              </w:placeholder>
            </w:sdtPr>
            <w:sdtEndPr/>
            <w:sdtContent>
              <w:p w:rsidR="00F20979" w:rsidRPr="005B6FE0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CU-001</w:t>
                </w:r>
              </w:p>
            </w:sdtContent>
          </w:sdt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861912D34C744FA9A1EC2E05F09E54CB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861912D34C744FA9A1EC2E05F09E54CB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EF8E79C7FA734EB2BB3338D1E6B0282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nuevos elementos de hardware al sistema. </w:t>
            </w:r>
          </w:p>
        </w:tc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EF8E79C7FA734EB2BB3338D1E6B02823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EF8E79C7FA734EB2BB3338D1E6B02823"/>
                  </w:placeholder>
                </w:sdtPr>
                <w:sdtEndPr/>
                <w:sdtContent>
                  <w:p w:rsidR="00F20979" w:rsidRPr="00FE0931" w:rsidRDefault="00F20979" w:rsidP="00F72772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Default="00F20979" w:rsidP="00F2097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muestra la lista de HARDWARE </w:t>
            </w:r>
          </w:p>
          <w:p w:rsidR="00F20979" w:rsidRDefault="00F20979" w:rsidP="00F20979">
            <w:pPr>
              <w:pStyle w:val="Prrafodelista"/>
              <w:numPr>
                <w:ilvl w:val="0"/>
                <w:numId w:val="3"/>
              </w:numPr>
            </w:pPr>
            <w:r>
              <w:t>El Jede del centro de cómputo selecciona “Aceptar”. Si selecciona “Agregar” (ver FA-2.1). Si selecciona un HARDWARE y después selecciona “editar” (ver FA-2.2). Si selecciona un HARDWARE y después selecciona “Eliminar” (ver FA-2.3)</w:t>
            </w:r>
          </w:p>
          <w:p w:rsidR="00F20979" w:rsidRPr="007D4DF2" w:rsidRDefault="00F20979" w:rsidP="00F20979">
            <w:pPr>
              <w:pStyle w:val="Prrafodelista"/>
              <w:numPr>
                <w:ilvl w:val="0"/>
                <w:numId w:val="3"/>
              </w:numPr>
            </w:pPr>
            <w:r>
              <w:t>Fin Caso de uso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EF8E79C7FA734EB2BB3338D1E6B02823"/>
              </w:placeholder>
            </w:sdtPr>
            <w:sdtEndPr>
              <w:rPr>
                <w:rFonts w:cs="Arial"/>
              </w:rPr>
            </w:sdtEndPr>
            <w:sdtContent>
              <w:p w:rsidR="00F20979" w:rsidRDefault="00F20979" w:rsidP="00F20979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F20979" w:rsidRDefault="00F20979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</w:t>
                </w:r>
                <w:r w:rsidR="0005516B">
                  <w:rPr>
                    <w:rFonts w:cs="Arial"/>
                    <w:lang w:val="es-ES"/>
                  </w:rPr>
                  <w:t>No. Inventario, marca, modelo, No. De serie y AREA y/o RESPONSABLE).</w:t>
                </w:r>
              </w:p>
              <w:p w:rsidR="0005516B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computo llena los campos 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</w:t>
                </w:r>
                <w:proofErr w:type="spellStart"/>
                <w:r w:rsidR="000E11C9">
                  <w:rPr>
                    <w:rFonts w:cs="Arial"/>
                    <w:lang w:val="es-ES"/>
                  </w:rPr>
                  <w:t>CamposVacios</w:t>
                </w:r>
                <w:proofErr w:type="spellEnd"/>
                <w:r>
                  <w:rPr>
                    <w:rFonts w:cs="Arial"/>
                    <w:lang w:val="es-ES"/>
                  </w:rPr>
                  <w:t>)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</w:t>
                </w:r>
                <w:r w:rsidR="00BE76DC">
                  <w:rPr>
                    <w:rFonts w:cs="Arial"/>
                    <w:lang w:val="es-ES"/>
                  </w:rPr>
                  <w:t>, regresa al punto 1 del flujo normal.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 en la base de datos”. ExCon.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070D34" w:rsidRDefault="00070D34" w:rsidP="00070D3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proofErr w:type="spellStart"/>
                <w:r>
                  <w:rPr>
                    <w:rFonts w:cs="Arial"/>
                    <w:lang w:val="es-ES"/>
                  </w:rPr>
                  <w:t>Harware</w:t>
                </w:r>
                <w:proofErr w:type="spellEnd"/>
              </w:p>
              <w:p w:rsidR="00070D34" w:rsidRDefault="00070D34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recupera los datos de HARDWARE seleccionado. ExCon.</w:t>
                </w:r>
              </w:p>
              <w:p w:rsidR="00070D34" w:rsidRDefault="00070D34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070D34" w:rsidRDefault="00070D34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r w:rsidR="00BE76DC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 xml:space="preserve"> edita los datos </w:t>
                </w:r>
                <w:r w:rsidR="00BE76DC">
                  <w:rPr>
                    <w:rFonts w:cs="Arial"/>
                    <w:lang w:val="es-ES"/>
                  </w:rPr>
                  <w:t>del HARDWARE.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HARDWARE seleccionado en la base de datos. ExCon.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BE76DC" w:rsidRDefault="00BE76DC" w:rsidP="00BE76D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BE76DC" w:rsidRDefault="00BE76DC" w:rsidP="00BE76D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el HARDWARE de la base de datos. ExCon.</w:t>
                </w:r>
              </w:p>
              <w:p w:rsidR="00BE76DC" w:rsidRDefault="00BE76DC" w:rsidP="00BE76D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“Hardware eliminado exitosamente”.</w:t>
                </w:r>
              </w:p>
              <w:p w:rsidR="00BE76DC" w:rsidRDefault="00BE76DC" w:rsidP="00BE76D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E11C9">
                  <w:rPr>
                    <w:rFonts w:cs="Arial"/>
                    <w:lang w:val="es-ES"/>
                  </w:rPr>
                  <w:t>-Cambios Vacíos Hay campos son llenar</w:t>
                </w:r>
              </w:p>
              <w:p w:rsid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0E11C9" w:rsidRP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F20979" w:rsidRPr="005B6FE0" w:rsidRDefault="001011C6" w:rsidP="00F72772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EF8E79C7FA734EB2BB3338D1E6B0282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Default="00F20979" w:rsidP="00F72772">
                <w:r>
                  <w:t>ExCon Error de conexión con la base de datos.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 w:rsidR="00306278"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 w:rsidR="00306278"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EF8E79C7FA734EB2BB3338D1E6B02823"/>
              </w:placeholder>
              <w:showingPlcHdr/>
            </w:sdtPr>
            <w:sdtEndPr/>
            <w:sdtContent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EF8E79C7FA734EB2BB3338D1E6B02823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EF8E79C7FA734EB2BB3338D1E6B02823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EF8E79C7FA734EB2BB3338D1E6B02823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20979" w:rsidRPr="005B6FE0" w:rsidRDefault="00F2097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bookmarkStart w:id="0" w:name="_GoBack"/>
        <w:bookmarkEnd w:id="0"/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EF8E79C7FA734EB2BB3338D1E6B0282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CU-012 Subir Garantia.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20979" w:rsidRPr="00731113" w:rsidRDefault="001011C6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187"/>
    <w:multiLevelType w:val="hybridMultilevel"/>
    <w:tmpl w:val="471C84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0E68"/>
    <w:multiLevelType w:val="hybridMultilevel"/>
    <w:tmpl w:val="CA5487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79"/>
    <w:rsid w:val="0005516B"/>
    <w:rsid w:val="00070D34"/>
    <w:rsid w:val="000D22F9"/>
    <w:rsid w:val="000E11C9"/>
    <w:rsid w:val="001011C6"/>
    <w:rsid w:val="00306278"/>
    <w:rsid w:val="00A707AE"/>
    <w:rsid w:val="00BE76DC"/>
    <w:rsid w:val="00F2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A6FF"/>
  <w15:chartTrackingRefBased/>
  <w15:docId w15:val="{9F02436A-833A-44F8-AEBA-962125EC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7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79"/>
    <w:rPr>
      <w:color w:val="808080"/>
    </w:rPr>
  </w:style>
  <w:style w:type="paragraph" w:styleId="Prrafodelista">
    <w:name w:val="List Paragraph"/>
    <w:basedOn w:val="Normal"/>
    <w:uiPriority w:val="34"/>
    <w:qFormat/>
    <w:rsid w:val="00F2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8E79C7FA734EB2BB3338D1E6B02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7AF64-27FB-4F2C-8667-E10006E3FF14}"/>
      </w:docPartPr>
      <w:docPartBody>
        <w:p w:rsidR="00A81C4C" w:rsidRDefault="006B5C0C" w:rsidP="006B5C0C">
          <w:pPr>
            <w:pStyle w:val="EF8E79C7FA734EB2BB3338D1E6B0282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1912D34C744FA9A1EC2E05F09E5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2958-8D4D-42B8-82B4-FCFD4F16E865}"/>
      </w:docPartPr>
      <w:docPartBody>
        <w:p w:rsidR="00A81C4C" w:rsidRDefault="006B5C0C" w:rsidP="006B5C0C">
          <w:pPr>
            <w:pStyle w:val="861912D34C744FA9A1EC2E05F09E54C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C"/>
    <w:rsid w:val="00377A3A"/>
    <w:rsid w:val="006B5C0C"/>
    <w:rsid w:val="00A81C4C"/>
    <w:rsid w:val="00A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5C0C"/>
    <w:rPr>
      <w:color w:val="808080"/>
    </w:rPr>
  </w:style>
  <w:style w:type="paragraph" w:customStyle="1" w:styleId="EF8E79C7FA734EB2BB3338D1E6B02823">
    <w:name w:val="EF8E79C7FA734EB2BB3338D1E6B02823"/>
    <w:rsid w:val="006B5C0C"/>
  </w:style>
  <w:style w:type="paragraph" w:customStyle="1" w:styleId="861912D34C744FA9A1EC2E05F09E54CB">
    <w:name w:val="861912D34C744FA9A1EC2E05F09E54CB"/>
    <w:rsid w:val="006B5C0C"/>
  </w:style>
  <w:style w:type="paragraph" w:customStyle="1" w:styleId="0BF574C0C70F43A99D0C82F86D6DC316">
    <w:name w:val="0BF574C0C70F43A99D0C82F86D6DC316"/>
    <w:rsid w:val="006B5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4</cp:revision>
  <dcterms:created xsi:type="dcterms:W3CDTF">2018-09-25T22:56:00Z</dcterms:created>
  <dcterms:modified xsi:type="dcterms:W3CDTF">2018-09-25T23:36:00Z</dcterms:modified>
</cp:coreProperties>
</file>