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AeroForge Architecture Decision Baseline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Document Identifier:</w:t>
      </w:r>
      <w:r w:rsidDel="00000000" w:rsidR="00000000" w:rsidRPr="00000000">
        <w:rPr>
          <w:rFonts w:ascii="Google Sans" w:cs="Google Sans" w:eastAsia="Google Sans" w:hAnsi="Google Sans"/>
          <w:color w:val="1f1f1f"/>
          <w:rtl w:val="0"/>
        </w:rPr>
        <w:t xml:space="preserve"> docs/architecture-decision-baseline.md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w:t>
      </w:r>
      <w:r w:rsidDel="00000000" w:rsidR="00000000" w:rsidRPr="00000000">
        <w:rPr>
          <w:rFonts w:ascii="Google Sans" w:cs="Google Sans" w:eastAsia="Google Sans" w:hAnsi="Google Sans"/>
          <w:color w:val="1f1f1f"/>
          <w:rtl w:val="0"/>
        </w:rPr>
        <w:t xml:space="preserve"> MIS 612 Fall 2026 — Project 2: Enterprise Multi-Cloud Case Study (AeroForge Precision Components)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Binding Architecture Baseline (Pre-Design Phase)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Binding Architectural Decision Baseline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architectural principles and baseline parameters are binding across all Part 1 (AWS) and Part 2 (Azure/Fabric/Databricks/Snowflake) deliverables.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1: AWS as the Enterprise Finance &amp; Operations System of Record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Amazon Web Services (AWS) hosts the core data platform and serves as the authoritative System of Record (SoR) for all raw plant operations, IoT machine telemetry, and transformed financial data.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 Context:</w:t>
      </w:r>
      <w:r w:rsidDel="00000000" w:rsidR="00000000" w:rsidRPr="00000000">
        <w:rPr>
          <w:rFonts w:ascii="Google Sans" w:cs="Google Sans" w:eastAsia="Google Sans" w:hAnsi="Google Sans"/>
          <w:color w:val="1f1f1f"/>
          <w:rtl w:val="0"/>
        </w:rPr>
        <w:t xml:space="preserve"> All raw ingestion from physical plants (Wichita, Oklahoma City, Querétaro), MES change-data-capture (CDC), CMMS maintenance work orders, ERP general ledger extracts, and external APIs terminates in AWS. Microsoft Azure, Microsoft Fabric, Databricks, and Snowflake consume operational and financial figures from AWS rather than capturing separate primary ingest streams.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2: Authoritative S3 Gold Zone in Apache Iceberg Open Table Format</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The Amazon S3 Gold Zone is the single source of truth for conformed enterprise analytics, official P&amp;L reporting, and Plant-to-P&amp;L digital thread metrics. It must be implemented using an open table format, specifically </w:t>
      </w:r>
      <w:r w:rsidDel="00000000" w:rsidR="00000000" w:rsidRPr="00000000">
        <w:rPr>
          <w:rFonts w:ascii="Google Sans" w:cs="Google Sans" w:eastAsia="Google Sans" w:hAnsi="Google Sans"/>
          <w:b w:val="1"/>
          <w:bCs w:val="1"/>
          <w:color w:val="1f1f1f"/>
          <w:rtl w:val="0"/>
        </w:rPr>
        <w:t xml:space="preserve">Apache Iceberg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 Context:</w:t>
      </w:r>
      <w:r w:rsidDel="00000000" w:rsidR="00000000" w:rsidRPr="00000000">
        <w:rPr>
          <w:rFonts w:ascii="Google Sans" w:cs="Google Sans" w:eastAsia="Google Sans" w:hAnsi="Google Sans"/>
          <w:color w:val="1f1f1f"/>
          <w:rtl w:val="0"/>
        </w:rPr>
        <w:t xml:space="preserve"> Using Apache Iceberg (via Amazon S3 Tables or customer-managed S3 buckets registered in the AWS Glue Data Catalog) eliminates vendor lock-in, provides ACID transaction isolation, supports time-travel auditing required for SOX compliance, and provides the open metadata interface required for multi-cloud zero-copy access.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3: Amazon Redshift as AWS Warehouse with Zero-Copy Azure/Snowflake Access</w:t>
      </w:r>
    </w:p>
    <w:p w:rsidR="00000000" w:rsidDel="00000000" w:rsidP="00000000" w:rsidRDefault="00000000" w:rsidRPr="00000000" w14:paraId="0000000E">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Amazon Redshift (Serverless or RA3) serves as the primary analytical data warehouse on AWS for high-performance SQL, plant controller reporting, and local BI. Part 2 engines (Microsoft Fabric, Azure Databricks, and Snowflake on Azure) must read the authoritative data without duplicating underlying Parquet storage into a third physical copy.</w:t>
      </w:r>
    </w:p>
    <w:p w:rsidR="00000000" w:rsidDel="00000000" w:rsidP="00000000" w:rsidRDefault="00000000" w:rsidRPr="00000000" w14:paraId="0000000F">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 Context:</w:t>
      </w:r>
      <w:r w:rsidDel="00000000" w:rsidR="00000000" w:rsidRPr="00000000">
        <w:rPr>
          <w:rFonts w:ascii="Google Sans" w:cs="Google Sans" w:eastAsia="Google Sans" w:hAnsi="Google Sans"/>
          <w:color w:val="1f1f1f"/>
          <w:rtl w:val="0"/>
        </w:rPr>
        <w:t xml:space="preserve"> Redshift accesses the S3 Gold Zone directly via Redshift Spectrum or native Iceberg support. In Part 2, Snowflake and Fabric access the S3 Iceberg tables through external catalogs and OneLake shortcuts rather than scheduled cross-cloud bulk replication pipelines.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4: Streaming Architecture Sized for 20,000 Messages/Second Peak</w:t>
      </w:r>
    </w:p>
    <w:p w:rsidR="00000000" w:rsidDel="00000000" w:rsidP="00000000" w:rsidRDefault="00000000" w:rsidRPr="00000000" w14:paraId="00000011">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The streaming ingestion and real-time processing tier on AWS must be designed and provisioned for a peak burst capacity of </w:t>
      </w:r>
      <w:r w:rsidDel="00000000" w:rsidR="00000000" w:rsidRPr="00000000">
        <w:rPr>
          <w:rFonts w:ascii="Google Sans" w:cs="Google Sans" w:eastAsia="Google Sans" w:hAnsi="Google Sans"/>
          <w:b w:val="1"/>
          <w:bCs w:val="1"/>
          <w:color w:val="1f1f1f"/>
          <w:rtl w:val="0"/>
        </w:rPr>
        <w:t xml:space="preserve">20,000 messages/second</w:t>
      </w:r>
      <w:r w:rsidDel="00000000" w:rsidR="00000000" w:rsidRPr="00000000">
        <w:rPr>
          <w:rFonts w:ascii="Google Sans" w:cs="Google Sans" w:eastAsia="Google Sans" w:hAnsi="Google Sans"/>
          <w:color w:val="1f1f1f"/>
          <w:rtl w:val="0"/>
        </w:rPr>
        <w:t xml:space="preserve">, rather than being constrained to the 10× average multiplier (</w:t>
      </w:r>
      <m:oMath>
        <m:r>
          <w:rPr>
            <w:rFonts w:ascii="Google Sans" w:cs="Google Sans" w:eastAsia="Google Sans" w:hAnsi="Google Sans"/>
            <w:color w:val="1f1f1f"/>
          </w:rPr>
          <m:t xml:space="preserve">4,800msg/s</m:t>
        </m:r>
      </m:oMath>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Conflict Documentation:</w:t>
      </w:r>
      <w:r w:rsidDel="00000000" w:rsidR="00000000" w:rsidRPr="00000000">
        <w:rPr>
          <w:rFonts w:ascii="Google Sans" w:cs="Google Sans" w:eastAsia="Google Sans" w:hAnsi="Google Sans"/>
          <w:color w:val="1f1f1f"/>
          <w:rtl w:val="0"/>
        </w:rPr>
        <w:t xml:space="preserve"> The Data Sources table specifies an average telemetry rate of </w:t>
      </w:r>
      <m:oMath>
        <m:r>
          <w:rPr>
            <w:rFonts w:ascii="Google Sans" w:cs="Google Sans" w:eastAsia="Google Sans" w:hAnsi="Google Sans"/>
            <w:color w:val="1f1f1f"/>
          </w:rPr>
          <m:t xml:space="preserve">480msg/s</m:t>
        </m:r>
      </m:oMath>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2,400machines</m:t>
        </m:r>
        <m:r>
          <w:rPr>
            <w:rFonts w:ascii="Google Sans" w:cs="Google Sans" w:eastAsia="Google Sans" w:hAnsi="Google Sans"/>
            <w:color w:val="1f1f1f"/>
          </w:rPr>
          <m:t>×</m:t>
        </m:r>
        <m:r>
          <w:rPr>
            <w:rFonts w:ascii="Google Sans" w:cs="Google Sans" w:eastAsia="Google Sans" w:hAnsi="Google Sans"/>
            <w:color w:val="1f1f1f"/>
          </w:rPr>
          <m:t xml:space="preserve">0.2msg/s</m:t>
        </m:r>
      </m:oMath>
      <w:r w:rsidDel="00000000" w:rsidR="00000000" w:rsidRPr="00000000">
        <w:rPr>
          <w:rFonts w:ascii="Google Sans" w:cs="Google Sans" w:eastAsia="Google Sans" w:hAnsi="Google Sans"/>
          <w:color w:val="1f1f1f"/>
          <w:rtl w:val="0"/>
        </w:rPr>
        <w:t xml:space="preserve">) and an explicit peak burst of </w:t>
      </w:r>
      <m:oMath>
        <m:r>
          <w:rPr>
            <w:rFonts w:ascii="Google Sans" w:cs="Google Sans" w:eastAsia="Google Sans" w:hAnsi="Google Sans"/>
            <w:color w:val="1f1f1f"/>
          </w:rPr>
          <m:t xml:space="preserve">20,000msg/s</m:t>
        </m:r>
      </m:oMath>
      <w:r w:rsidDel="00000000" w:rsidR="00000000" w:rsidRPr="00000000">
        <w:rPr>
          <w:rFonts w:ascii="Google Sans" w:cs="Google Sans" w:eastAsia="Google Sans" w:hAnsi="Google Sans"/>
          <w:color w:val="1f1f1f"/>
          <w:rtl w:val="0"/>
        </w:rPr>
        <w:t xml:space="preserve"> (a </w:t>
      </w:r>
      <m:oMath>
        <m:r>
          <w:rPr>
            <w:rFonts w:ascii="Google Sans" w:cs="Google Sans" w:eastAsia="Google Sans" w:hAnsi="Google Sans"/>
            <w:color w:val="1f1f1f"/>
          </w:rPr>
          <m:t xml:space="preserve">41.67</m:t>
        </m:r>
        <m:r>
          <w:rPr>
            <w:rFonts w:ascii="Google Sans" w:cs="Google Sans" w:eastAsia="Google Sans" w:hAnsi="Google Sans"/>
            <w:color w:val="1f1f1f"/>
          </w:rPr>
          <m:t>×</m:t>
        </m:r>
      </m:oMath>
      <w:r w:rsidDel="00000000" w:rsidR="00000000" w:rsidRPr="00000000">
        <w:rPr>
          <w:rFonts w:ascii="Google Sans" w:cs="Google Sans" w:eastAsia="Google Sans" w:hAnsi="Google Sans"/>
          <w:color w:val="1f1f1f"/>
          <w:rtl w:val="0"/>
        </w:rPr>
        <w:t xml:space="preserve"> peak-to-average ratio). Conversely, the Non-Functional Requirements (NFR) table lists the scalability requirement as absorbing "10× telemetry bursts" (</w:t>
      </w:r>
      <m:oMath>
        <m:r>
          <w:rPr>
            <w:rFonts w:ascii="Google Sans" w:cs="Google Sans" w:eastAsia="Google Sans" w:hAnsi="Google Sans"/>
            <w:color w:val="1f1f1f"/>
          </w:rPr>
          <m:t xml:space="preserve">4,800msg/s</m:t>
        </m:r>
      </m:oMath>
      <w:r w:rsidDel="00000000" w:rsidR="00000000" w:rsidRPr="00000000">
        <w:rPr>
          <w:rFonts w:ascii="Google Sans" w:cs="Google Sans" w:eastAsia="Google Sans" w:hAnsi="Google Sans"/>
          <w:color w:val="1f1f1f"/>
          <w:rtl w:val="0"/>
        </w:rPr>
        <w:t xml:space="preserve">). This architecture baseline binds the physical streaming pipeline (Amazon Kinesis Data Streams / Amazon MSK and AWS Lambda/Flink stream processors) to the higher </w:t>
      </w:r>
      <m:oMath>
        <m:r>
          <w:rPr>
            <w:rFonts w:ascii="Google Sans" w:cs="Google Sans" w:eastAsia="Google Sans" w:hAnsi="Google Sans"/>
            <w:color w:val="1f1f1f"/>
          </w:rPr>
          <m:t xml:space="preserve">20,000msg/s</m:t>
        </m:r>
      </m:oMath>
      <w:r w:rsidDel="00000000" w:rsidR="00000000" w:rsidRPr="00000000">
        <w:rPr>
          <w:rFonts w:ascii="Google Sans" w:cs="Google Sans" w:eastAsia="Google Sans" w:hAnsi="Google Sans"/>
          <w:color w:val="1f1f1f"/>
          <w:rtl w:val="0"/>
        </w:rPr>
        <w:t xml:space="preserve"> ceiling to guarantee that shop-floor burst spikes (shift startups, emergency stops, spindle chatter events) do not trigger stream throttling, data loss, or backpressure.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5: Two Sizing Scenarios (Scenario A: Pilot vs. Scenario B: 12 Plants)</w:t>
      </w:r>
    </w:p>
    <w:p w:rsidR="00000000" w:rsidDel="00000000" w:rsidP="00000000" w:rsidRDefault="00000000" w:rsidRPr="00000000" w14:paraId="00000014">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Financial modeling and architecture sizing must evaluate two distinct, explicit scenarios:</w:t>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Scenario A (3-Plant Pilot):</w:t>
      </w:r>
      <w:r w:rsidDel="00000000" w:rsidR="00000000" w:rsidRPr="00000000">
        <w:rPr>
          <w:rFonts w:ascii="Google Sans" w:cs="Google Sans" w:eastAsia="Google Sans" w:hAnsi="Google Sans"/>
          <w:color w:val="1f1f1f"/>
          <w:rtl w:val="0"/>
        </w:rPr>
        <w:t xml:space="preserve"> Models the initial production deployment covering Wichita (HQ), Oklahoma City, and Querétaro.</w:t>
      </w:r>
    </w:p>
    <w:p w:rsidR="00000000" w:rsidDel="00000000" w:rsidP="00000000" w:rsidRDefault="00000000" w:rsidRPr="00000000" w14:paraId="00000016">
      <w:pPr>
        <w:numPr>
          <w:ilvl w:val="2"/>
          <w:numId w:val="27"/>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Pilot Infrastructure Basis:</w:t>
      </w:r>
      <w:r w:rsidDel="00000000" w:rsidR="00000000" w:rsidRPr="00000000">
        <w:rPr>
          <w:rFonts w:ascii="Google Sans" w:cs="Google Sans" w:eastAsia="Google Sans" w:hAnsi="Google Sans"/>
          <w:color w:val="1f1f1f"/>
          <w:rtl w:val="0"/>
        </w:rPr>
        <w:t xml:space="preserve"> To distinguish the sample data file from the physical plant, the pilot sizing baseline establishes </w:t>
      </w:r>
      <w:r w:rsidDel="00000000" w:rsidR="00000000" w:rsidRPr="00000000">
        <w:rPr>
          <w:rFonts w:ascii="Google Sans" w:cs="Google Sans" w:eastAsia="Google Sans" w:hAnsi="Google Sans"/>
          <w:b w:val="1"/>
          <w:bCs w:val="1"/>
          <w:color w:val="1f1f1f"/>
          <w:rtl w:val="0"/>
        </w:rPr>
        <w:t xml:space="preserve">600 active production machines</w:t>
      </w:r>
      <w:r w:rsidDel="00000000" w:rsidR="00000000" w:rsidRPr="00000000">
        <w:rPr>
          <w:rFonts w:ascii="Google Sans" w:cs="Google Sans" w:eastAsia="Google Sans" w:hAnsi="Google Sans"/>
          <w:color w:val="1f1f1f"/>
          <w:rtl w:val="0"/>
        </w:rPr>
        <w:t xml:space="preserve"> across the 3 plants (</w:t>
      </w:r>
      <m:oMath>
        <m:r>
          <w:rPr>
            <w:rFonts w:ascii="Google Sans" w:cs="Google Sans" w:eastAsia="Google Sans" w:hAnsi="Google Sans"/>
            <w:color w:val="1f1f1f"/>
          </w:rPr>
          <m:t xml:space="preserve">200machines/plant</m:t>
        </m:r>
      </m:oMath>
      <w:r w:rsidDel="00000000" w:rsidR="00000000" w:rsidRPr="00000000">
        <w:rPr>
          <w:rFonts w:ascii="Google Sans" w:cs="Google Sans" w:eastAsia="Google Sans" w:hAnsi="Google Sans"/>
          <w:color w:val="1f1f1f"/>
          <w:rtl w:val="0"/>
        </w:rPr>
        <w:t xml:space="preserve"> average), while recognizing that the provided static data pack contains an instrumented development slice of </w:t>
      </w:r>
      <w:r w:rsidDel="00000000" w:rsidR="00000000" w:rsidRPr="00000000">
        <w:rPr>
          <w:rFonts w:ascii="Google Sans" w:cs="Google Sans" w:eastAsia="Google Sans" w:hAnsi="Google Sans"/>
          <w:b w:val="1"/>
          <w:bCs w:val="1"/>
          <w:color w:val="1f1f1f"/>
          <w:rtl w:val="0"/>
        </w:rPr>
        <w:t xml:space="preserve">24 pilot machines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2"/>
          <w:numId w:val="27"/>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Baseline Ingestion Sizing:</w:t>
      </w:r>
      <w:r w:rsidDel="00000000" w:rsidR="00000000" w:rsidRPr="00000000">
        <w:rPr>
          <w:rFonts w:ascii="Google Sans" w:cs="Google Sans" w:eastAsia="Google Sans" w:hAnsi="Google Sans"/>
          <w:color w:val="1f1f1f"/>
          <w:rtl w:val="0"/>
        </w:rPr>
        <w:t xml:space="preserve"> Average throughput of </w:t>
      </w:r>
      <m:oMath>
        <m:r>
          <w:rPr>
            <w:rFonts w:ascii="Google Sans" w:cs="Google Sans" w:eastAsia="Google Sans" w:hAnsi="Google Sans"/>
            <w:color w:val="1f1f1f"/>
          </w:rPr>
          <m:t xml:space="preserve">120msg/s</m:t>
        </m:r>
      </m:oMath>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600</m:t>
        </m:r>
        <m:r>
          <w:rPr>
            <w:rFonts w:ascii="Google Sans" w:cs="Google Sans" w:eastAsia="Google Sans" w:hAnsi="Google Sans"/>
            <w:color w:val="1f1f1f"/>
          </w:rPr>
          <m:t>×</m:t>
        </m:r>
        <m:r>
          <w:rPr>
            <w:rFonts w:ascii="Google Sans" w:cs="Google Sans" w:eastAsia="Google Sans" w:hAnsi="Google Sans"/>
            <w:color w:val="1f1f1f"/>
          </w:rPr>
          <m:t xml:space="preserve">0.2msg/s</m:t>
        </m:r>
      </m:oMath>
      <w:r w:rsidDel="00000000" w:rsidR="00000000" w:rsidRPr="00000000">
        <w:rPr>
          <w:rFonts w:ascii="Google Sans" w:cs="Google Sans" w:eastAsia="Google Sans" w:hAnsi="Google Sans"/>
          <w:color w:val="1f1f1f"/>
          <w:rtl w:val="0"/>
        </w:rPr>
        <w:t xml:space="preserve">), with a proportional peak burst capacity of </w:t>
      </w:r>
      <m:oMath>
        <m:r>
          <w:rPr>
            <w:rFonts w:ascii="Google Sans" w:cs="Google Sans" w:eastAsia="Google Sans" w:hAnsi="Google Sans"/>
            <w:color w:val="1f1f1f"/>
          </w:rPr>
          <m:t xml:space="preserve">5,000msg/s</m:t>
        </m:r>
      </m:oMath>
      <w:r w:rsidDel="00000000" w:rsidR="00000000" w:rsidRPr="00000000">
        <w:rPr>
          <w:rFonts w:ascii="Google Sans" w:cs="Google Sans" w:eastAsia="Google Sans" w:hAnsi="Google Sans"/>
          <w:color w:val="1f1f1f"/>
          <w:rtl w:val="0"/>
        </w:rPr>
        <w:t xml:space="preserve">. Storage baseline: </w:t>
      </w:r>
      <m:oMath>
        <m:r>
          <m:t>∼</m:t>
        </m:r>
        <m:r>
          <w:rPr>
            <w:rFonts w:ascii="Google Sans" w:cs="Google Sans" w:eastAsia="Google Sans" w:hAnsi="Google Sans"/>
            <w:color w:val="1f1f1f"/>
          </w:rPr>
          <m:t xml:space="preserve">375GB/month</m:t>
        </m:r>
      </m:oMath>
      <w:r w:rsidDel="00000000" w:rsidR="00000000" w:rsidRPr="00000000">
        <w:rPr>
          <w:rFonts w:ascii="Google Sans" w:cs="Google Sans" w:eastAsia="Google Sans" w:hAnsi="Google Sans"/>
          <w:color w:val="1f1f1f"/>
          <w:rtl w:val="0"/>
        </w:rPr>
        <w:t xml:space="preserve"> raw telemetry.</w:t>
      </w:r>
    </w:p>
    <w:p w:rsidR="00000000" w:rsidDel="00000000" w:rsidP="00000000" w:rsidRDefault="00000000" w:rsidRPr="00000000" w14:paraId="00000018">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Scenario B (12 Plants Enterprise Scale):</w:t>
      </w:r>
      <w:r w:rsidDel="00000000" w:rsidR="00000000" w:rsidRPr="00000000">
        <w:rPr>
          <w:rFonts w:ascii="Google Sans" w:cs="Google Sans" w:eastAsia="Google Sans" w:hAnsi="Google Sans"/>
          <w:color w:val="1f1f1f"/>
          <w:rtl w:val="0"/>
        </w:rPr>
        <w:t xml:space="preserve"> Models the full target enterprise following the 3-year acquisition roadmap.</w:t>
      </w:r>
    </w:p>
    <w:p w:rsidR="00000000" w:rsidDel="00000000" w:rsidP="00000000" w:rsidRDefault="00000000" w:rsidRPr="00000000" w14:paraId="00000019">
      <w:pPr>
        <w:numPr>
          <w:ilvl w:val="2"/>
          <w:numId w:val="28"/>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Enterprise Infrastructure Basis: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2,400 active production machines</w:t>
      </w:r>
      <w:r w:rsidDel="00000000" w:rsidR="00000000" w:rsidRPr="00000000">
        <w:rPr>
          <w:rFonts w:ascii="Google Sans" w:cs="Google Sans" w:eastAsia="Google Sans" w:hAnsi="Google Sans"/>
          <w:color w:val="1f1f1f"/>
          <w:rtl w:val="0"/>
        </w:rPr>
        <w:t xml:space="preserve"> across 12 facilities.</w:t>
      </w:r>
    </w:p>
    <w:p w:rsidR="00000000" w:rsidDel="00000000" w:rsidP="00000000" w:rsidRDefault="00000000" w:rsidRPr="00000000" w14:paraId="0000001A">
      <w:pPr>
        <w:numPr>
          <w:ilvl w:val="2"/>
          <w:numId w:val="28"/>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i w:val="1"/>
          <w:iCs w:val="1"/>
          <w:color w:val="1f1f1f"/>
          <w:rtl w:val="0"/>
        </w:rPr>
        <w:t xml:space="preserve">Enterprise Ingestion Sizing:</w:t>
      </w:r>
      <w:r w:rsidDel="00000000" w:rsidR="00000000" w:rsidRPr="00000000">
        <w:rPr>
          <w:rFonts w:ascii="Google Sans" w:cs="Google Sans" w:eastAsia="Google Sans" w:hAnsi="Google Sans"/>
          <w:color w:val="1f1f1f"/>
          <w:rtl w:val="0"/>
        </w:rPr>
        <w:t xml:space="preserve"> Average throughput of </w:t>
      </w:r>
      <m:oMath>
        <m:r>
          <w:rPr>
            <w:rFonts w:ascii="Google Sans" w:cs="Google Sans" w:eastAsia="Google Sans" w:hAnsi="Google Sans"/>
            <w:color w:val="1f1f1f"/>
          </w:rPr>
          <m:t xml:space="preserve">480msg/s</m:t>
        </m:r>
      </m:oMath>
      <w:r w:rsidDel="00000000" w:rsidR="00000000" w:rsidRPr="00000000">
        <w:rPr>
          <w:rFonts w:ascii="Google Sans" w:cs="Google Sans" w:eastAsia="Google Sans" w:hAnsi="Google Sans"/>
          <w:color w:val="1f1f1f"/>
          <w:rtl w:val="0"/>
        </w:rPr>
        <w:t xml:space="preserve">, peak burst capacity of </w:t>
      </w:r>
      <m:oMath>
        <m:r>
          <w:rPr>
            <w:rFonts w:ascii="Google Sans" w:cs="Google Sans" w:eastAsia="Google Sans" w:hAnsi="Google Sans"/>
            <w:color w:val="1f1f1f"/>
          </w:rPr>
          <m:t xml:space="preserve">20,000msg/s</m:t>
        </m:r>
      </m:oMath>
      <w:r w:rsidDel="00000000" w:rsidR="00000000" w:rsidRPr="00000000">
        <w:rPr>
          <w:rFonts w:ascii="Google Sans" w:cs="Google Sans" w:eastAsia="Google Sans" w:hAnsi="Google Sans"/>
          <w:color w:val="1f1f1f"/>
          <w:rtl w:val="0"/>
        </w:rPr>
        <w:t xml:space="preserve">, yielding </w:t>
      </w:r>
      <m:oMath>
        <m:r>
          <m:t>∼</m:t>
        </m:r>
        <m:r>
          <w:rPr>
            <w:rFonts w:ascii="Google Sans" w:cs="Google Sans" w:eastAsia="Google Sans" w:hAnsi="Google Sans"/>
            <w:color w:val="1f1f1f"/>
          </w:rPr>
          <m:t xml:space="preserve">1.5TB/month</m:t>
        </m:r>
      </m:oMath>
      <w:r w:rsidDel="00000000" w:rsidR="00000000" w:rsidRPr="00000000">
        <w:rPr>
          <w:rFonts w:ascii="Google Sans" w:cs="Google Sans" w:eastAsia="Google Sans" w:hAnsi="Google Sans"/>
          <w:color w:val="1f1f1f"/>
          <w:rtl w:val="0"/>
        </w:rPr>
        <w:t xml:space="preserve"> of compressed raw JSONL telemetry.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6: FinOps Boundary — Pilot Target (</w:t>
      </w:r>
      <w:r w:rsidDel="00000000" w:rsidR="00000000" w:rsidRPr="00000000">
        <w:rPr>
          <w:rFonts w:ascii="Google Sans" w:cs="Google Sans" w:eastAsia="Google Sans" w:hAnsi="Google Sans"/>
          <w:b w:val="1"/>
          <w:bCs w:val="1"/>
          <w:i w:val="0"/>
          <w:iCs w:val="0"/>
          <w:color w:val="1f1f1f"/>
          <w:sz w:val="28"/>
          <w:szCs w:val="28"/>
          <w:rtl w:val="0"/>
        </w:rPr>
        <w:t xml:space="preserve">$&lt;\$18,000/\text{Month}$</w:t>
      </w:r>
      <w:r w:rsidDel="00000000" w:rsidR="00000000" w:rsidRPr="00000000">
        <w:rPr>
          <w:rFonts w:ascii="Google Sans" w:cs="Google Sans" w:eastAsia="Google Sans" w:hAnsi="Google Sans"/>
          <w:color w:val="1f1f1f"/>
          <w:rtl w:val="0"/>
        </w:rPr>
        <w:t xml:space="preserve">) Applies Exclusively to AWS</w:t>
      </w:r>
    </w:p>
    <w:p w:rsidR="00000000" w:rsidDel="00000000" w:rsidP="00000000" w:rsidRDefault="00000000" w:rsidRPr="00000000" w14:paraId="0000001C">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The NFR pilot cost ceiling of </w:t>
      </w:r>
      <w:r w:rsidDel="00000000" w:rsidR="00000000" w:rsidRPr="00000000">
        <w:rPr>
          <w:rFonts w:ascii="Google Sans" w:cs="Google Sans" w:eastAsia="Google Sans" w:hAnsi="Google Sans"/>
          <w:b w:val="1"/>
          <w:bCs w:val="1"/>
          <w:color w:val="1f1f1f"/>
          <w:rtl w:val="0"/>
        </w:rPr>
        <w:t xml:space="preserve">$&lt;\$18,000/\text{month}$</w:t>
      </w:r>
      <w:r w:rsidDel="00000000" w:rsidR="00000000" w:rsidRPr="00000000">
        <w:rPr>
          <w:rFonts w:ascii="Google Sans" w:cs="Google Sans" w:eastAsia="Google Sans" w:hAnsi="Google Sans"/>
          <w:color w:val="1f1f1f"/>
          <w:rtl w:val="0"/>
        </w:rPr>
        <w:t xml:space="preserve"> applies strictly to the AWS production footprint in Scenario A.</w:t>
      </w:r>
    </w:p>
    <w:p w:rsidR="00000000" w:rsidDel="00000000" w:rsidP="00000000" w:rsidRDefault="00000000" w:rsidRPr="00000000" w14:paraId="0000001D">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 Context:</w:t>
      </w:r>
      <w:r w:rsidDel="00000000" w:rsidR="00000000" w:rsidRPr="00000000">
        <w:rPr>
          <w:rFonts w:ascii="Google Sans" w:cs="Google Sans" w:eastAsia="Google Sans" w:hAnsi="Google Sans"/>
          <w:color w:val="1f1f1f"/>
          <w:rtl w:val="0"/>
        </w:rPr>
        <w:t xml:space="preserve"> Microsoft Azure, Fabric capacity (F-SKUs), Azure Databricks DBUs, and Snowflake credit consumption must be modeled, budgeted, and presented as an independent operational envelope. Shared multi-cloud costs (such as AWS cross-cloud egress for OneLake/Snowflake queries) must be itemized under AWS showback tagging.</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7: Cimarron Composites as an Add-On 13th Site</w:t>
      </w:r>
    </w:p>
    <w:p w:rsidR="00000000" w:rsidDel="00000000" w:rsidP="00000000" w:rsidRDefault="00000000" w:rsidRPr="00000000" w14:paraId="0000001F">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Cimarron Composites (San Antonio, TX) is treated architecturally as an acquired site operating on top of the 12-plant baseline (</w:t>
      </w:r>
      <m:oMath>
        <m:r>
          <w:rPr>
            <w:rFonts w:ascii="Google Sans" w:cs="Google Sans" w:eastAsia="Google Sans" w:hAnsi="Google Sans"/>
            <w:color w:val="1f1f1f"/>
          </w:rPr>
          <m:t xml:space="preserve">12+1</m:t>
        </m:r>
      </m:oMath>
      <w:r w:rsidDel="00000000" w:rsidR="00000000" w:rsidRPr="00000000">
        <w:rPr>
          <w:rFonts w:ascii="Google Sans" w:cs="Google Sans" w:eastAsia="Google Sans" w:hAnsi="Google Sans"/>
          <w:color w:val="1f1f1f"/>
          <w:rtl w:val="0"/>
        </w:rPr>
        <w:t xml:space="preserve"> topology).</w:t>
      </w:r>
    </w:p>
    <w:p w:rsidR="00000000" w:rsidDel="00000000" w:rsidP="00000000" w:rsidRDefault="00000000" w:rsidRPr="00000000" w14:paraId="00000020">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 Context:</w:t>
      </w:r>
      <w:r w:rsidDel="00000000" w:rsidR="00000000" w:rsidRPr="00000000">
        <w:rPr>
          <w:rFonts w:ascii="Google Sans" w:cs="Google Sans" w:eastAsia="Google Sans" w:hAnsi="Google Sans"/>
          <w:color w:val="1f1f1f"/>
          <w:rtl w:val="0"/>
        </w:rPr>
        <w:t xml:space="preserve"> Because physical telemetry files and equipment registries for Cimarron are omitted from the source materials, Cimarron's shop floor is modeled as a native Azure IoT Operations edge connecting directly to Azure Event Hubs and Microsoft Fabric Real-Time Intelligence, while its historical manufacturing models remain in Azure Databricks Unity Catalog.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8: Data Sovereignty for Mexico Payroll &amp; HR Data</w:t>
      </w:r>
    </w:p>
    <w:p w:rsidR="00000000" w:rsidDel="00000000" w:rsidP="00000000" w:rsidRDefault="00000000" w:rsidRPr="00000000" w14:paraId="00000022">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Mexican labor, HR, and payroll records generated by the Querétaro (QRO) entity must physically remain within Mexican sovereign territory.</w:t>
      </w:r>
    </w:p>
    <w:p w:rsidR="00000000" w:rsidDel="00000000" w:rsidP="00000000" w:rsidRDefault="00000000" w:rsidRPr="00000000" w14:paraId="00000023">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 Context:</w:t>
      </w:r>
      <w:r w:rsidDel="00000000" w:rsidR="00000000" w:rsidRPr="00000000">
        <w:rPr>
          <w:rFonts w:ascii="Google Sans" w:cs="Google Sans" w:eastAsia="Google Sans" w:hAnsi="Google Sans"/>
          <w:color w:val="1f1f1f"/>
          <w:rtl w:val="0"/>
        </w:rPr>
        <w:t xml:space="preserve"> Workloads handling in-country restricted data will evaluate the </w:t>
      </w:r>
      <w:r w:rsidDel="00000000" w:rsidR="00000000" w:rsidRPr="00000000">
        <w:rPr>
          <w:rFonts w:ascii="Google Sans" w:cs="Google Sans" w:eastAsia="Google Sans" w:hAnsi="Google Sans"/>
          <w:b w:val="1"/>
          <w:bCs w:val="1"/>
          <w:color w:val="1f1f1f"/>
          <w:rtl w:val="0"/>
        </w:rPr>
        <w:t xml:space="preserve">AWS Mexico (Central) Region (mx-central-1)</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Azure Mexico Central Region (Querétaro)</w:t>
      </w:r>
      <w:r w:rsidDel="00000000" w:rsidR="00000000" w:rsidRPr="00000000">
        <w:rPr>
          <w:rFonts w:ascii="Google Sans" w:cs="Google Sans" w:eastAsia="Google Sans" w:hAnsi="Google Sans"/>
          <w:color w:val="1f1f1f"/>
          <w:rtl w:val="0"/>
        </w:rPr>
        <w:t xml:space="preserve">. Cross-border replication of QRO financial rollups to US regions is strictly limited to anonymized, de-identified general ledger journal balances, plant-level operational aggregations, and standard cost variance totals.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9: Segregation and Compliance Architecture for Export-Controlled TALON Data</w:t>
      </w:r>
    </w:p>
    <w:p w:rsidR="00000000" w:rsidDel="00000000" w:rsidP="00000000" w:rsidRDefault="00000000" w:rsidRPr="00000000" w14:paraId="00000025">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Technical and operational data associated with the Cobalt Defense TALON military trainer program is export-controlled (governed by ITAR / EAR export regulations) and must physically reside within United States regions with access restricted strictly to verified U.S. persons.</w:t>
      </w:r>
    </w:p>
    <w:p w:rsidR="00000000" w:rsidDel="00000000" w:rsidP="00000000" w:rsidRDefault="00000000" w:rsidRPr="00000000" w14:paraId="00000026">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 Context:</w:t>
      </w:r>
      <w:r w:rsidDel="00000000" w:rsidR="00000000" w:rsidRPr="00000000">
        <w:rPr>
          <w:rFonts w:ascii="Google Sans" w:cs="Google Sans" w:eastAsia="Google Sans" w:hAnsi="Google Sans"/>
          <w:color w:val="1f1f1f"/>
          <w:rtl w:val="0"/>
        </w:rPr>
        <w:t xml:space="preserve"> Data platform designs must enforce cryptographic isolation (dedicated AWS KMS Customer Managed Keys with strict IAM conditions), logical network isolation (dedicated S3 prefixes/buckets with bucket policies blocking non-US identities), and attribute-based access control via AWS Lake Formation and Microsoft Entra ID groups (US-Persons-Only).</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10: Provisional Status of All Data Schemas</w:t>
      </w:r>
    </w:p>
    <w:p w:rsidR="00000000" w:rsidDel="00000000" w:rsidP="00000000" w:rsidRDefault="00000000" w:rsidRPr="00000000" w14:paraId="00000028">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Because the physical AeroForge Data Pack files and DATA_DICTIONARY.md are unprovided in this phase, all entity schemas, table definitions, primary/foreign keys, and column data types are formally designated as </w:t>
      </w:r>
      <w:r w:rsidDel="00000000" w:rsidR="00000000" w:rsidRPr="00000000">
        <w:rPr>
          <w:rFonts w:ascii="Google Sans" w:cs="Google Sans" w:eastAsia="Google Sans" w:hAnsi="Google Sans"/>
          <w:b w:val="1"/>
          <w:bCs w:val="1"/>
          <w:color w:val="1f1f1f"/>
          <w:rtl w:val="0"/>
        </w:rPr>
        <w:t xml:space="preserve">Provisional Schemas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 Context:</w:t>
      </w:r>
      <w:r w:rsidDel="00000000" w:rsidR="00000000" w:rsidRPr="00000000">
        <w:rPr>
          <w:rFonts w:ascii="Google Sans" w:cs="Google Sans" w:eastAsia="Google Sans" w:hAnsi="Google Sans"/>
          <w:color w:val="1f1f1f"/>
          <w:rtl w:val="0"/>
        </w:rPr>
        <w:t xml:space="preserve"> Logical models and ontology definitions are derived strictly from the explicit attributes cited in the Part 1 and Part 2 project descriptions. All schemas must contain reconciliation flags to be validated against the formal data dictionary once provided.</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11: Scope Restriction — Elimination of Part 3 and Interactive HTML</w:t>
      </w:r>
    </w:p>
    <w:p w:rsidR="00000000" w:rsidDel="00000000" w:rsidP="00000000" w:rsidRDefault="00000000" w:rsidRPr="00000000" w14:paraId="0000002B">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Decision:</w:t>
      </w:r>
      <w:r w:rsidDel="00000000" w:rsidR="00000000" w:rsidRPr="00000000">
        <w:rPr>
          <w:rFonts w:ascii="Google Sans" w:cs="Google Sans" w:eastAsia="Google Sans" w:hAnsi="Google Sans"/>
          <w:color w:val="1f1f1f"/>
          <w:rtl w:val="0"/>
        </w:rPr>
        <w:t xml:space="preserve"> Part 3 (the physical hands-on AWS Learner Lab implementation) and the optional interactive kickoff HTML prototype are out of scope for the architecture baseline.</w:t>
      </w:r>
    </w:p>
    <w:p w:rsidR="00000000" w:rsidDel="00000000" w:rsidP="00000000" w:rsidRDefault="00000000" w:rsidRPr="00000000" w14:paraId="0000002C">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 Context:</w:t>
      </w:r>
      <w:r w:rsidDel="00000000" w:rsidR="00000000" w:rsidRPr="00000000">
        <w:rPr>
          <w:rFonts w:ascii="Google Sans" w:cs="Google Sans" w:eastAsia="Google Sans" w:hAnsi="Google Sans"/>
          <w:color w:val="1f1f1f"/>
          <w:rtl w:val="0"/>
        </w:rPr>
        <w:t xml:space="preserve"> Work is focused on architectural blueprints, cross-cloud protocol analysis, non-functional requirement traceability, and governance models.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Technical Evaluation of the Multi-Cloud "Zero-Copy" Mandate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CIO of the combined enterprise established a core rule: </w:t>
      </w:r>
      <w:r w:rsidDel="00000000" w:rsidR="00000000" w:rsidRPr="00000000">
        <w:rPr>
          <w:rFonts w:ascii="Google Sans" w:cs="Google Sans" w:eastAsia="Google Sans" w:hAnsi="Google Sans"/>
          <w:b w:val="1"/>
          <w:bCs w:val="1"/>
          <w:color w:val="1f1f1f"/>
          <w:rtl w:val="0"/>
        </w:rPr>
        <w:t xml:space="preserve">"No third copy of the data"</w:t>
      </w:r>
      <w:r w:rsidDel="00000000" w:rsidR="00000000" w:rsidRPr="00000000">
        <w:rPr>
          <w:rFonts w:ascii="Google Sans" w:cs="Google Sans" w:eastAsia="Google Sans" w:hAnsi="Google Sans"/>
          <w:color w:val="1f1f1f"/>
          <w:rtl w:val="0"/>
        </w:rPr>
        <w:t xml:space="preserve">. To prevent architectural drift, the data tier must be classified into four clear categories: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DATA CLASSIFICATION TAXONOMY                                         |</w:t>
        <w:br w:type="textWrapping"/>
        <w:t xml:space="preserve">+--------------------------------------------------------------------------------------------------------+</w:t>
        <w:br w:type="textWrapping"/>
        <w:t xml:space="preserve">| 1. Authoritative Source Data  --&gt; S3 Gold Zone: Single canonical Iceberg tables (Parquet + Metadata)   |</w:t>
        <w:br w:type="textWrapping"/>
        <w:t xml:space="preserve">| 2. Separate Physical Copy     --&gt; FORBIDDEN: Byte-for-byte duplicate tables ETL'd into ADLS or OneLake  |</w:t>
        <w:br w:type="textWrapping"/>
        <w:t xml:space="preserve">| 3. Derived Serving Structure  --&gt; ALLOWED: Ephemeral aggregated materialized views (Warehouse/Semantic)|</w:t>
        <w:br w:type="textWrapping"/>
        <w:t xml:space="preserve">| 4. Metadata &amp; Ephemeral Cache --&gt; ALLOWED: Query result caches, catalog pointers, OneLake Delta logs   |</w:t>
        <w:br w:type="textWrapping"/>
        <w:t xml:space="preserve">+--------------------------------------------------------------------------------------------------------+</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[AWS S3 Gold Zone] &lt;---------------------------------------------+</w:t>
        <w:br w:type="textWrapping"/>
        <w:t xml:space="preserve">   (Authoritative Apache Iceberg)                                   |</w:t>
        <w:br w:type="textWrapping"/>
        <w:t xml:space="preserve">         |                                                          |</w:t>
        <w:br w:type="textWrapping"/>
        <w:t xml:space="preserve">         | (Direct Query / Redshift Spectrum)                       | (OneLake S3 Shortcut)</w:t>
        <w:br w:type="textWrapping"/>
        <w:t xml:space="preserve">         v                                                          v</w:t>
        <w:br w:type="textWrapping"/>
        <w:t xml:space="preserve">   [Amazon Redshift]                                         [Microsoft OneLake]</w:t>
        <w:br w:type="textWrapping"/>
        <w:t xml:space="preserve">   (Serving Engine)                                          (Translates Iceberg -&gt; Delta metadata)</w:t>
        <w:br w:type="textWrapping"/>
        <w:t xml:space="preserve">                                                                    |</w:t>
        <w:br w:type="textWrapping"/>
        <w:t xml:space="preserve">                                        +---------------------------+---------------------------+</w:t>
        <w:br w:type="textWrapping"/>
        <w:t xml:space="preserve">                                        |                                                       |</w:t>
        <w:br w:type="textWrapping"/>
        <w:t xml:space="preserve">                                        v                                                       v</w:t>
        <w:br w:type="textWrapping"/>
        <w:t xml:space="preserve">                             [Fabric SQL / Direct Lake]                             [Azure Databricks]</w:t>
        <w:br w:type="textWrapping"/>
        <w:t xml:space="preserve">                             (Reads S3 Parquet via Shortcut)                        (Reads S3 via Unity Catalog)</w:t>
        <w:br w:type="textWrapping"/>
        <w:t xml:space="preserve">                                                                                                |</w:t>
        <w:br w:type="textWrapping"/>
        <w:t xml:space="preserve">                                                                                                v</w:t>
        <w:br w:type="textWrapping"/>
        <w:t xml:space="preserve">                                                                                    [Snowflake on Azure]</w:t>
        <w:br w:type="textWrapping"/>
        <w:t xml:space="preserve">                                                                                    (External Volume -&gt; S3)</w:t>
        <w:br w:type="textWrapping"/>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Classification Definitions</w:t>
      </w:r>
    </w:p>
    <w:p w:rsidR="00000000" w:rsidDel="00000000" w:rsidP="00000000" w:rsidRDefault="00000000" w:rsidRPr="00000000" w14:paraId="00000038">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Authoritative Source Data:</w:t>
      </w:r>
      <w:r w:rsidDel="00000000" w:rsidR="00000000" w:rsidRPr="00000000">
        <w:rPr>
          <w:rFonts w:ascii="Google Sans" w:cs="Google Sans" w:eastAsia="Google Sans" w:hAnsi="Google Sans"/>
          <w:color w:val="1f1f1f"/>
          <w:rtl w:val="0"/>
        </w:rPr>
        <w:t xml:space="preserve"> The single canonical, durable store of historical and processed data. For AeroForge, this consists of the raw, curated, and gold S3 buckets in AWS (with Gold formatted as Apache Iceberg).</w:t>
      </w:r>
    </w:p>
    <w:p w:rsidR="00000000" w:rsidDel="00000000" w:rsidP="00000000" w:rsidRDefault="00000000" w:rsidRPr="00000000" w14:paraId="00000039">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Separate Physical Copy (Strictly Prohibited):</w:t>
      </w:r>
      <w:r w:rsidDel="00000000" w:rsidR="00000000" w:rsidRPr="00000000">
        <w:rPr>
          <w:rFonts w:ascii="Google Sans" w:cs="Google Sans" w:eastAsia="Google Sans" w:hAnsi="Google Sans"/>
          <w:color w:val="1f1f1f"/>
          <w:rtl w:val="0"/>
        </w:rPr>
        <w:t xml:space="preserve"> Any secondary pipeline that extracts data from the authoritative source and writes persistent, byte-for-byte duplicate Parquet/Delta tables into Azure Data Lake Storage (ADLS Gen2), Microsoft OneLake storage accounts, or native Snowflake micro-partition tables. This violates the CIO mandate, creates data synchronization lag, inflates multi-cloud storage bills, and fractures SOX data lineage.</w:t>
      </w:r>
    </w:p>
    <w:p w:rsidR="00000000" w:rsidDel="00000000" w:rsidP="00000000" w:rsidRDefault="00000000" w:rsidRPr="00000000" w14:paraId="0000003A">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Materialized or Derived Serving Structure (Permitted with Governance):</w:t>
      </w:r>
      <w:r w:rsidDel="00000000" w:rsidR="00000000" w:rsidRPr="00000000">
        <w:rPr>
          <w:rFonts w:ascii="Google Sans" w:cs="Google Sans" w:eastAsia="Google Sans" w:hAnsi="Google Sans"/>
          <w:color w:val="1f1f1f"/>
          <w:rtl w:val="0"/>
        </w:rPr>
        <w:t xml:space="preserve"> Specialized, transient aggregations or indexing structures (such as Power BI Direct Lake cache files, Redshift automated materialized views, or KQL dynamic tables) that contain rolled-up summaries or pre-computed mathematical transforms (e.g., hourly machine OEE or daily plant scrap totals). These do not contain raw transaction records and can be wiped and recomputed on demand.</w:t>
      </w:r>
    </w:p>
    <w:p w:rsidR="00000000" w:rsidDel="00000000" w:rsidP="00000000" w:rsidRDefault="00000000" w:rsidRPr="00000000" w14:paraId="0000003B">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Metadata, Cached Data, and Query Results (Permitted Operational Overhead):</w:t>
      </w:r>
      <w:r w:rsidDel="00000000" w:rsidR="00000000" w:rsidRPr="00000000">
        <w:rPr>
          <w:rFonts w:ascii="Google Sans" w:cs="Google Sans" w:eastAsia="Google Sans" w:hAnsi="Google Sans"/>
          <w:color w:val="1f1f1f"/>
          <w:rtl w:val="0"/>
        </w:rPr>
        <w:t xml:space="preserve"> Local catalog pointers, generated translation manifest files (e.g., OneLake-generated Delta log references pointing to S3 Parquet objects), query execution result sets, and short-lived caching structures required by distributed SQL engines.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Dive: Do OneLake Shortcuts and Snowflake External Iceberg Tables Satisfy the Zero-Copy Mandate?</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Microsoft Fabric OneLake Shortcuts to Amazon S3</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Fabric OneLake allows users to create an "External Shortcut" pointing to an Amazon S3 bucket path. When targeting Apache Iceberg tables in S3, Microsoft Fabric utilizes native metadata translation (Iceberg-to-Delta interop). OneLake reads the Iceberg metadata.json, manifest lists, and manifest files, and automatically generates an in-memory or lightweight metadata Delta transaction log (_delta_log/) in OneLake.</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Storage Evaluation:</w:t>
      </w:r>
      <w:r w:rsidDel="00000000" w:rsidR="00000000" w:rsidRPr="00000000">
        <w:rPr>
          <w:rFonts w:ascii="Google Sans" w:cs="Google Sans" w:eastAsia="Google Sans" w:hAnsi="Google Sans"/>
          <w:color w:val="1f1f1f"/>
          <w:rtl w:val="0"/>
        </w:rPr>
        <w:t xml:space="preserve"> OneLake shortcuts do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duplicate the underlying Parquet data files. The raw data blocks remain physically housed inside the AWS S3 bucket.</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Compliance with Mandate: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Compliant with Qualifications.</w:t>
      </w:r>
    </w:p>
    <w:p w:rsidR="00000000" w:rsidDel="00000000" w:rsidP="00000000" w:rsidRDefault="00000000" w:rsidRPr="00000000" w14:paraId="00000041">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Storage:</w:t>
      </w:r>
      <w:r w:rsidDel="00000000" w:rsidR="00000000" w:rsidRPr="00000000">
        <w:rPr>
          <w:rFonts w:ascii="Google Sans" w:cs="Google Sans" w:eastAsia="Google Sans" w:hAnsi="Google Sans"/>
          <w:color w:val="1f1f1f"/>
          <w:rtl w:val="0"/>
        </w:rPr>
        <w:t xml:space="preserve"> Satisfies the "no third copy" rule because storage is zero-copy (only metadata is generated locally).</w:t>
      </w:r>
    </w:p>
    <w:p w:rsidR="00000000" w:rsidDel="00000000" w:rsidP="00000000" w:rsidRDefault="00000000" w:rsidRPr="00000000" w14:paraId="00000042">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Authentication &amp; Network Boundary:</w:t>
      </w:r>
      <w:r w:rsidDel="00000000" w:rsidR="00000000" w:rsidRPr="00000000">
        <w:rPr>
          <w:rFonts w:ascii="Google Sans" w:cs="Google Sans" w:eastAsia="Google Sans" w:hAnsi="Google Sans"/>
          <w:color w:val="1f1f1f"/>
          <w:rtl w:val="0"/>
        </w:rPr>
        <w:t xml:space="preserve"> Cross-cloud shortcuts to S3 rely on delegated credentials (an Entra ID Service Principal or IAM Role trust). If workspaces have Private Link enabled, external cross-cloud shortcut traversal requires explicit endpoint configuration.</w:t>
      </w:r>
    </w:p>
    <w:p w:rsidR="00000000" w:rsidDel="00000000" w:rsidP="00000000" w:rsidRDefault="00000000" w:rsidRPr="00000000" w14:paraId="00000043">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FinOps Exposure:</w:t>
      </w:r>
      <w:r w:rsidDel="00000000" w:rsidR="00000000" w:rsidRPr="00000000">
        <w:rPr>
          <w:rFonts w:ascii="Google Sans" w:cs="Google Sans" w:eastAsia="Google Sans" w:hAnsi="Google Sans"/>
          <w:color w:val="1f1f1f"/>
          <w:rtl w:val="0"/>
        </w:rPr>
        <w:t xml:space="preserve"> While storage is not duplicated, </w:t>
      </w:r>
      <w:r w:rsidDel="00000000" w:rsidR="00000000" w:rsidRPr="00000000">
        <w:rPr>
          <w:rFonts w:ascii="Google Sans" w:cs="Google Sans" w:eastAsia="Google Sans" w:hAnsi="Google Sans"/>
          <w:b w:val="1"/>
          <w:bCs w:val="1"/>
          <w:color w:val="1f1f1f"/>
          <w:rtl w:val="0"/>
        </w:rPr>
        <w:t xml:space="preserve">every read operation executed by Fabric Spark or Fabric Warehouse across the shortcut triggers AWS cross-region/cross-cloud data egress fees</w:t>
      </w:r>
      <w:r w:rsidDel="00000000" w:rsidR="00000000" w:rsidRPr="00000000">
        <w:rPr>
          <w:rFonts w:ascii="Google Sans" w:cs="Google Sans" w:eastAsia="Google Sans" w:hAnsi="Google Sans"/>
          <w:color w:val="1f1f1f"/>
          <w:rtl w:val="0"/>
        </w:rPr>
        <w:t xml:space="preserve"> (standard AWS S3 internet egress rates of $\approx \$0.09/\text{GB}$ or Direct Connect egress rates). High-frequency analytical scans across the shortcut can rapidly exceed the cost of local storage.</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Snowflake on Azure Iceberg Tables (External Volume Pattern)</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Snowflake on Azure supports Apache Iceberg tables using an </w:t>
      </w:r>
      <w:r w:rsidDel="00000000" w:rsidR="00000000" w:rsidRPr="00000000">
        <w:rPr>
          <w:rFonts w:ascii="Google Sans" w:cs="Google Sans" w:eastAsia="Google Sans" w:hAnsi="Google Sans"/>
          <w:b w:val="1"/>
          <w:bCs w:val="1"/>
          <w:color w:val="1f1f1f"/>
          <w:rtl w:val="0"/>
        </w:rPr>
        <w:t xml:space="preserve">External Volume</w:t>
      </w:r>
      <w:r w:rsidDel="00000000" w:rsidR="00000000" w:rsidRPr="00000000">
        <w:rPr>
          <w:rFonts w:ascii="Google Sans" w:cs="Google Sans" w:eastAsia="Google Sans" w:hAnsi="Google Sans"/>
          <w:color w:val="1f1f1f"/>
          <w:rtl w:val="0"/>
        </w:rPr>
        <w:t xml:space="preserve"> (which defines the cloud storage location and IAM role authentication to AWS S3) combined with an </w:t>
      </w:r>
      <w:r w:rsidDel="00000000" w:rsidR="00000000" w:rsidRPr="00000000">
        <w:rPr>
          <w:rFonts w:ascii="Google Sans" w:cs="Google Sans" w:eastAsia="Google Sans" w:hAnsi="Google Sans"/>
          <w:b w:val="1"/>
          <w:bCs w:val="1"/>
          <w:color w:val="1f1f1f"/>
          <w:rtl w:val="0"/>
        </w:rPr>
        <w:t xml:space="preserve">External Catalog Integration</w:t>
      </w:r>
      <w:r w:rsidDel="00000000" w:rsidR="00000000" w:rsidRPr="00000000">
        <w:rPr>
          <w:rFonts w:ascii="Google Sans" w:cs="Google Sans" w:eastAsia="Google Sans" w:hAnsi="Google Sans"/>
          <w:color w:val="1f1f1f"/>
          <w:rtl w:val="0"/>
        </w:rPr>
        <w:t xml:space="preserve"> (pointing to AWS Glue Data Catalog or an Iceberg REST Catalog endpoint).</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Storage Evaluation:</w:t>
      </w:r>
      <w:r w:rsidDel="00000000" w:rsidR="00000000" w:rsidRPr="00000000">
        <w:rPr>
          <w:rFonts w:ascii="Google Sans" w:cs="Google Sans" w:eastAsia="Google Sans" w:hAnsi="Google Sans"/>
          <w:color w:val="1f1f1f"/>
          <w:rtl w:val="0"/>
        </w:rPr>
        <w:t xml:space="preserve"> Snowflake operates in an unmanaged/external catalog mode. The Parquet data files and Iceberg manifest files remain entirely in AWS S3. Snowflake stores only table metadata pointers, column-level statistics, and file pruning caches within its internal metadata service.</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Compliance with Mandate: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Compliant with Critical Architectural Caveats.</w:t>
      </w:r>
    </w:p>
    <w:p w:rsidR="00000000" w:rsidDel="00000000" w:rsidP="00000000" w:rsidRDefault="00000000" w:rsidRPr="00000000" w14:paraId="00000048">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Storage:</w:t>
      </w:r>
      <w:r w:rsidDel="00000000" w:rsidR="00000000" w:rsidRPr="00000000">
        <w:rPr>
          <w:rFonts w:ascii="Google Sans" w:cs="Google Sans" w:eastAsia="Google Sans" w:hAnsi="Google Sans"/>
          <w:color w:val="1f1f1f"/>
          <w:rtl w:val="0"/>
        </w:rPr>
        <w:t xml:space="preserve"> Satisfies the "no third copy" rule. Snowflake does not write native micro-partitions or bill for customer storage.</w:t>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Governance &amp; Mutability Constraint:</w:t>
      </w:r>
      <w:r w:rsidDel="00000000" w:rsidR="00000000" w:rsidRPr="00000000">
        <w:rPr>
          <w:rFonts w:ascii="Google Sans" w:cs="Google Sans" w:eastAsia="Google Sans" w:hAnsi="Google Sans"/>
          <w:color w:val="1f1f1f"/>
          <w:rtl w:val="0"/>
        </w:rPr>
        <w:t xml:space="preserve"> Snowflake cannot execute DML writes (INSERT, UPDATE, DELETE) against Iceberg tables that use an external AWS Glue catalog unless configured via the Iceberg REST Catalog protocol. For AeroForge's corporate finance warehouse, this enforces an architectural benefit: Snowflake acts as a </w:t>
      </w:r>
      <w:r w:rsidDel="00000000" w:rsidR="00000000" w:rsidRPr="00000000">
        <w:rPr>
          <w:rFonts w:ascii="Google Sans" w:cs="Google Sans" w:eastAsia="Google Sans" w:hAnsi="Google Sans"/>
          <w:b w:val="1"/>
          <w:bCs w:val="1"/>
          <w:color w:val="1f1f1f"/>
          <w:rtl w:val="0"/>
        </w:rPr>
        <w:t xml:space="preserve">strictly read-only consumer</w:t>
      </w:r>
      <w:r w:rsidDel="00000000" w:rsidR="00000000" w:rsidRPr="00000000">
        <w:rPr>
          <w:rFonts w:ascii="Google Sans" w:cs="Google Sans" w:eastAsia="Google Sans" w:hAnsi="Google Sans"/>
          <w:color w:val="1f1f1f"/>
          <w:rtl w:val="0"/>
        </w:rPr>
        <w:t xml:space="preserve"> of the authoritative AWS S3 gold tables, preventing rogue ledger updates outside of AWS.</w:t>
      </w:r>
    </w:p>
    <w:p w:rsidR="00000000" w:rsidDel="00000000" w:rsidP="00000000" w:rsidRDefault="00000000" w:rsidRPr="00000000" w14:paraId="0000004A">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Egress &amp; Performance Latency:</w:t>
      </w:r>
      <w:r w:rsidDel="00000000" w:rsidR="00000000" w:rsidRPr="00000000">
        <w:rPr>
          <w:rFonts w:ascii="Google Sans" w:cs="Google Sans" w:eastAsia="Google Sans" w:hAnsi="Google Sans"/>
          <w:color w:val="1f1f1f"/>
          <w:rtl w:val="0"/>
        </w:rPr>
        <w:t xml:space="preserve"> Because Snowflake compute runs on Microsoft Azure while the data files reside on AWS S3, complex joins and un-pruned scans will pull data over the public internet or cross-cloud interconnect, incurring AWS data egress fees and query latency.</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Assessment for the Baseline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Both OneLake S3 shortcuts and Snowflake External Iceberg Volumes technically comply with the CIO's "no third copy" rule from a pure storage perspective. However, the team must explicitly document in the ADRs that </w:t>
      </w:r>
      <w:r w:rsidDel="00000000" w:rsidR="00000000" w:rsidRPr="00000000">
        <w:rPr>
          <w:rFonts w:ascii="Google Sans" w:cs="Google Sans" w:eastAsia="Google Sans" w:hAnsi="Google Sans"/>
          <w:b w:val="1"/>
          <w:bCs w:val="1"/>
          <w:color w:val="1f1f1f"/>
          <w:rtl w:val="0"/>
        </w:rPr>
        <w:t xml:space="preserve">"Zero-Copy Storage </w:t>
      </w:r>
      <m:oMath>
        <m:r>
          <m:t>≠</m:t>
        </m:r>
      </m:oMath>
      <w:r w:rsidDel="00000000" w:rsidR="00000000" w:rsidRPr="00000000">
        <w:rPr>
          <w:rFonts w:ascii="Google Sans" w:cs="Google Sans" w:eastAsia="Google Sans" w:hAnsi="Google Sans"/>
          <w:b w:val="1"/>
          <w:bCs w:val="1"/>
          <w:color w:val="1f1f1f"/>
          <w:rtl w:val="0"/>
        </w:rPr>
        <w:t xml:space="preserve"> Zero-Cost Compute."</w:t>
      </w:r>
      <w:r w:rsidDel="00000000" w:rsidR="00000000" w:rsidRPr="00000000">
        <w:rPr>
          <w:rFonts w:ascii="Google Sans" w:cs="Google Sans" w:eastAsia="Google Sans" w:hAnsi="Google Sans"/>
          <w:color w:val="1f1f1f"/>
          <w:rtl w:val="0"/>
        </w:rPr>
        <w:t xml:space="preserve"> A cross-cloud read pattern converts persistent storage expenses into variable network egress and read-latency overhead.</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Explicit Architectural Assumptions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operational, technical, and regulatory assumptions are established to eliminate ambiguity across the design: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Equipment &amp; Telemetry Sizing Assumptions</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Machine Inventory Ratio:</w:t>
      </w:r>
      <w:r w:rsidDel="00000000" w:rsidR="00000000" w:rsidRPr="00000000">
        <w:rPr>
          <w:rFonts w:ascii="Google Sans" w:cs="Google Sans" w:eastAsia="Google Sans" w:hAnsi="Google Sans"/>
          <w:color w:val="1f1f1f"/>
          <w:rtl w:val="0"/>
        </w:rPr>
        <w:t xml:space="preserve"> The enterprise target of 2,400 machines across 12 plants yields an average density of </w:t>
      </w:r>
      <w:r w:rsidDel="00000000" w:rsidR="00000000" w:rsidRPr="00000000">
        <w:rPr>
          <w:rFonts w:ascii="Google Sans" w:cs="Google Sans" w:eastAsia="Google Sans" w:hAnsi="Google Sans"/>
          <w:b w:val="1"/>
          <w:bCs w:val="1"/>
          <w:color w:val="1f1f1f"/>
          <w:rtl w:val="0"/>
        </w:rPr>
        <w:t xml:space="preserve">200 production machines per plant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Scenario A Pilot Sizing:</w:t>
      </w:r>
    </w:p>
    <w:p w:rsidR="00000000" w:rsidDel="00000000" w:rsidP="00000000" w:rsidRDefault="00000000" w:rsidRPr="00000000" w14:paraId="00000052">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Total machines operating across the 3 pilot plants (Wichita, OKC, Querétaro): </w:t>
      </w:r>
      <w:r w:rsidDel="00000000" w:rsidR="00000000" w:rsidRPr="00000000">
        <w:rPr>
          <w:rFonts w:ascii="Google Sans" w:cs="Google Sans" w:eastAsia="Google Sans" w:hAnsi="Google Sans"/>
          <w:b w:val="1"/>
          <w:bCs w:val="1"/>
          <w:color w:val="1f1f1f"/>
          <w:rtl w:val="0"/>
        </w:rPr>
        <w:t xml:space="preserve">600 machines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Telemetry message payload size: Assumed at </w:t>
      </w:r>
      <w:r w:rsidDel="00000000" w:rsidR="00000000" w:rsidRPr="00000000">
        <w:rPr>
          <w:rFonts w:ascii="Google Sans" w:cs="Google Sans" w:eastAsia="Google Sans" w:hAnsi="Google Sans"/>
          <w:b w:val="1"/>
          <w:bCs w:val="1"/>
          <w:color w:val="1f1f1f"/>
          <w:rtl w:val="0"/>
        </w:rPr>
        <w:t xml:space="preserve">1.0 KB per JSON event</w:t>
      </w:r>
      <w:r w:rsidDel="00000000" w:rsidR="00000000" w:rsidRPr="00000000">
        <w:rPr>
          <w:rFonts w:ascii="Google Sans" w:cs="Google Sans" w:eastAsia="Google Sans" w:hAnsi="Google Sans"/>
          <w:color w:val="1f1f1f"/>
          <w:rtl w:val="0"/>
        </w:rPr>
        <w:t xml:space="preserve"> (incorporating machine ID, plant code, timestamp, spindle speed, 3-axis vibration, bearing temperature, feed rate, torque, oil pressure, and ambient condition metrics).</w:t>
      </w:r>
    </w:p>
    <w:p w:rsidR="00000000" w:rsidDel="00000000" w:rsidP="00000000" w:rsidRDefault="00000000" w:rsidRPr="00000000" w14:paraId="00000054">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Scenario A Average Ingestion: </w:t>
      </w:r>
      <m:oMath>
        <m:r>
          <w:rPr>
            <w:rFonts w:ascii="Google Sans" w:cs="Google Sans" w:eastAsia="Google Sans" w:hAnsi="Google Sans"/>
            <w:color w:val="1f1f1f"/>
          </w:rPr>
          <m:t xml:space="preserve">600machines</m:t>
        </m:r>
        <m:r>
          <w:rPr>
            <w:rFonts w:ascii="Google Sans" w:cs="Google Sans" w:eastAsia="Google Sans" w:hAnsi="Google Sans"/>
            <w:color w:val="1f1f1f"/>
          </w:rPr>
          <m:t>×</m:t>
        </m:r>
        <m:r>
          <w:rPr>
            <w:rFonts w:ascii="Google Sans" w:cs="Google Sans" w:eastAsia="Google Sans" w:hAnsi="Google Sans"/>
            <w:color w:val="1f1f1f"/>
          </w:rPr>
          <m:t xml:space="preserve">0.2msg/s=120msg/s</m:t>
        </m:r>
      </m:oMath>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120KB/s</m:t>
        </m:r>
        <m:r>
          <w:rPr>
            <w:rFonts w:ascii="Google Sans" w:cs="Google Sans" w:eastAsia="Google Sans" w:hAnsi="Google Sans"/>
            <w:color w:val="1f1f1f"/>
          </w:rPr>
          <m:t>≈</m:t>
        </m:r>
        <m:r>
          <w:rPr>
            <w:rFonts w:ascii="Google Sans" w:cs="Google Sans" w:eastAsia="Google Sans" w:hAnsi="Google Sans"/>
            <w:color w:val="1f1f1f"/>
          </w:rPr>
          <m:t xml:space="preserve">0.117MB/s</m:t>
        </m:r>
      </m:oMath>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Scenario A Monthly Telemetry Volume: </w:t>
      </w:r>
      <m:oMath>
        <m:r>
          <m:t>≈</m:t>
        </m:r>
        <m:r>
          <w:rPr>
            <w:rFonts w:ascii="Google Sans" w:cs="Google Sans" w:eastAsia="Google Sans" w:hAnsi="Google Sans"/>
            <w:color w:val="1f1f1f"/>
          </w:rPr>
          <m:t xml:space="preserve">311millionevents/month</m:t>
        </m:r>
        <m:r>
          <w:rPr>
            <w:rFonts w:ascii="Google Sans" w:cs="Google Sans" w:eastAsia="Google Sans" w:hAnsi="Google Sans"/>
            <w:color w:val="1f1f1f"/>
          </w:rPr>
          <m:t>≈</m:t>
        </m:r>
        <m:r>
          <w:rPr>
            <w:rFonts w:ascii="Google Sans" w:cs="Google Sans" w:eastAsia="Google Sans" w:hAnsi="Google Sans"/>
            <w:color w:val="1f1f1f"/>
          </w:rPr>
          <m:t xml:space="preserve">311GB/month</m:t>
        </m:r>
      </m:oMath>
      <w:r w:rsidDel="00000000" w:rsidR="00000000" w:rsidRPr="00000000">
        <w:rPr>
          <w:rFonts w:ascii="Google Sans" w:cs="Google Sans" w:eastAsia="Google Sans" w:hAnsi="Google Sans"/>
          <w:color w:val="1f1f1f"/>
          <w:rtl w:val="0"/>
        </w:rPr>
        <w:t xml:space="preserve"> uncompressed (</w:t>
      </w:r>
      <m:oMath>
        <m:r>
          <m:t>≈</m:t>
        </m:r>
        <m:r>
          <w:rPr>
            <w:rFonts w:ascii="Google Sans" w:cs="Google Sans" w:eastAsia="Google Sans" w:hAnsi="Google Sans"/>
            <w:color w:val="1f1f1f"/>
          </w:rPr>
          <m:t xml:space="preserve">78GB/month</m:t>
        </m:r>
      </m:oMath>
      <w:r w:rsidDel="00000000" w:rsidR="00000000" w:rsidRPr="00000000">
        <w:rPr>
          <w:rFonts w:ascii="Google Sans" w:cs="Google Sans" w:eastAsia="Google Sans" w:hAnsi="Google Sans"/>
          <w:color w:val="1f1f1f"/>
          <w:rtl w:val="0"/>
        </w:rPr>
        <w:t xml:space="preserve"> compressed Parquet).</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Scenario B Enterprise Sizing:</w:t>
      </w:r>
    </w:p>
    <w:p w:rsidR="00000000" w:rsidDel="00000000" w:rsidP="00000000" w:rsidRDefault="00000000" w:rsidRPr="00000000" w14:paraId="00000057">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Total machines across 12 plants: </w:t>
      </w:r>
      <w:r w:rsidDel="00000000" w:rsidR="00000000" w:rsidRPr="00000000">
        <w:rPr>
          <w:rFonts w:ascii="Google Sans" w:cs="Google Sans" w:eastAsia="Google Sans" w:hAnsi="Google Sans"/>
          <w:b w:val="1"/>
          <w:bCs w:val="1"/>
          <w:color w:val="1f1f1f"/>
          <w:rtl w:val="0"/>
        </w:rPr>
        <w:t xml:space="preserve">2,400 machines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Scenario B Average Ingestion: </w:t>
      </w:r>
      <m:oMath>
        <m:r>
          <w:rPr>
            <w:rFonts w:ascii="Google Sans" w:cs="Google Sans" w:eastAsia="Google Sans" w:hAnsi="Google Sans"/>
            <w:color w:val="1f1f1f"/>
          </w:rPr>
          <m:t xml:space="preserve">2,400machines</m:t>
        </m:r>
        <m:r>
          <w:rPr>
            <w:rFonts w:ascii="Google Sans" w:cs="Google Sans" w:eastAsia="Google Sans" w:hAnsi="Google Sans"/>
            <w:color w:val="1f1f1f"/>
          </w:rPr>
          <m:t>×</m:t>
        </m:r>
        <m:r>
          <w:rPr>
            <w:rFonts w:ascii="Google Sans" w:cs="Google Sans" w:eastAsia="Google Sans" w:hAnsi="Google Sans"/>
            <w:color w:val="1f1f1f"/>
          </w:rPr>
          <m:t xml:space="preserve">0.2msg/s=480msg/s</m:t>
        </m:r>
      </m:oMath>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480KB/s</m:t>
        </m:r>
        <m:r>
          <w:rPr>
            <w:rFonts w:ascii="Google Sans" w:cs="Google Sans" w:eastAsia="Google Sans" w:hAnsi="Google Sans"/>
            <w:color w:val="1f1f1f"/>
          </w:rPr>
          <m:t>≈</m:t>
        </m:r>
        <m:r>
          <w:rPr>
            <w:rFonts w:ascii="Google Sans" w:cs="Google Sans" w:eastAsia="Google Sans" w:hAnsi="Google Sans"/>
            <w:color w:val="1f1f1f"/>
          </w:rPr>
          <m:t xml:space="preserve">0.469MB/s</m:t>
        </m:r>
      </m:oMath>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Scenario B Monthly Volume: </w:t>
      </w:r>
      <m:oMath>
        <m:r>
          <m:t>≈</m:t>
        </m:r>
        <m:r>
          <w:rPr>
            <w:rFonts w:ascii="Google Sans" w:cs="Google Sans" w:eastAsia="Google Sans" w:hAnsi="Google Sans"/>
            <w:color w:val="1f1f1f"/>
          </w:rPr>
          <m:t xml:space="preserve">1.24billionevents/month</m:t>
        </m:r>
        <m:r>
          <w:rPr>
            <w:rFonts w:ascii="Google Sans" w:cs="Google Sans" w:eastAsia="Google Sans" w:hAnsi="Google Sans"/>
            <w:color w:val="1f1f1f"/>
          </w:rPr>
          <m:t>≈</m:t>
        </m:r>
        <m:r>
          <w:rPr>
            <w:rFonts w:ascii="Google Sans" w:cs="Google Sans" w:eastAsia="Google Sans" w:hAnsi="Google Sans"/>
            <w:color w:val="1f1f1f"/>
          </w:rPr>
          <m:t xml:space="preserve">1.24TB/month</m:t>
        </m:r>
      </m:oMath>
      <w:r w:rsidDel="00000000" w:rsidR="00000000" w:rsidRPr="00000000">
        <w:rPr>
          <w:rFonts w:ascii="Google Sans" w:cs="Google Sans" w:eastAsia="Google Sans" w:hAnsi="Google Sans"/>
          <w:color w:val="1f1f1f"/>
          <w:rtl w:val="0"/>
        </w:rPr>
        <w:t xml:space="preserve"> raw JSON (</w:t>
      </w:r>
      <m:oMath>
        <m:r>
          <m:t>≈</m:t>
        </m:r>
        <m:r>
          <w:rPr>
            <w:rFonts w:ascii="Google Sans" w:cs="Google Sans" w:eastAsia="Google Sans" w:hAnsi="Google Sans"/>
            <w:color w:val="1f1f1f"/>
          </w:rPr>
          <m:t xml:space="preserve">1.5TB/month</m:t>
        </m:r>
      </m:oMath>
      <w:r w:rsidDel="00000000" w:rsidR="00000000" w:rsidRPr="00000000">
        <w:rPr>
          <w:rFonts w:ascii="Google Sans" w:cs="Google Sans" w:eastAsia="Google Sans" w:hAnsi="Google Sans"/>
          <w:color w:val="1f1f1f"/>
          <w:rtl w:val="0"/>
        </w:rPr>
        <w:t xml:space="preserve"> including wrapper overhead and metadata; </w:t>
      </w:r>
      <m:oMath>
        <m:r>
          <m:t>∼</m:t>
        </m:r>
        <m:r>
          <w:rPr>
            <w:rFonts w:ascii="Google Sans" w:cs="Google Sans" w:eastAsia="Google Sans" w:hAnsi="Google Sans"/>
            <w:color w:val="1f1f1f"/>
          </w:rPr>
          <m:t xml:space="preserve">310GB/month</m:t>
        </m:r>
      </m:oMath>
      <w:r w:rsidDel="00000000" w:rsidR="00000000" w:rsidRPr="00000000">
        <w:rPr>
          <w:rFonts w:ascii="Google Sans" w:cs="Google Sans" w:eastAsia="Google Sans" w:hAnsi="Google Sans"/>
          <w:color w:val="1f1f1f"/>
          <w:rtl w:val="0"/>
        </w:rPr>
        <w:t xml:space="preserve"> compressed Parquet).</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Peak Burst Buffer Provisioning:</w:t>
      </w:r>
    </w:p>
    <w:p w:rsidR="00000000" w:rsidDel="00000000" w:rsidP="00000000" w:rsidRDefault="00000000" w:rsidRPr="00000000" w14:paraId="0000005B">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Baseline streaming ingress ceiling: </w:t>
      </w:r>
      <w:r w:rsidDel="00000000" w:rsidR="00000000" w:rsidRPr="00000000">
        <w:rPr>
          <w:rFonts w:ascii="Google Sans" w:cs="Google Sans" w:eastAsia="Google Sans" w:hAnsi="Google Sans"/>
          <w:b w:val="1"/>
          <w:bCs w:val="1"/>
          <w:color w:val="1f1f1f"/>
          <w:rtl w:val="0"/>
        </w:rPr>
        <w:t xml:space="preserve">20,000 msg/s</w:t>
      </w:r>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20MB/s</m:t>
        </m:r>
      </m:oMath>
      <w:r w:rsidDel="00000000" w:rsidR="00000000" w:rsidRPr="00000000">
        <w:rPr>
          <w:rFonts w:ascii="Google Sans" w:cs="Google Sans" w:eastAsia="Google Sans" w:hAnsi="Google Sans"/>
          <w:color w:val="1f1f1f"/>
          <w:rtl w:val="0"/>
        </w:rPr>
        <w:t xml:space="preserve"> throughput).</w:t>
      </w:r>
    </w:p>
    <w:p w:rsidR="00000000" w:rsidDel="00000000" w:rsidP="00000000" w:rsidRDefault="00000000" w:rsidRPr="00000000" w14:paraId="0000005C">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Kinesis Data Streams Capacity: 1 Kinesis shard provides </w:t>
      </w:r>
      <m:oMath>
        <m:r>
          <w:rPr>
            <w:rFonts w:ascii="Google Sans" w:cs="Google Sans" w:eastAsia="Google Sans" w:hAnsi="Google Sans"/>
            <w:color w:val="1f1f1f"/>
          </w:rPr>
          <m:t xml:space="preserve">1MB/s</m:t>
        </m:r>
      </m:oMath>
      <w:r w:rsidDel="00000000" w:rsidR="00000000" w:rsidRPr="00000000">
        <w:rPr>
          <w:rFonts w:ascii="Google Sans" w:cs="Google Sans" w:eastAsia="Google Sans" w:hAnsi="Google Sans"/>
          <w:color w:val="1f1f1f"/>
          <w:rtl w:val="0"/>
        </w:rPr>
        <w:t xml:space="preserve"> or </w:t>
      </w:r>
      <m:oMath>
        <m:r>
          <w:rPr>
            <w:rFonts w:ascii="Google Sans" w:cs="Google Sans" w:eastAsia="Google Sans" w:hAnsi="Google Sans"/>
            <w:color w:val="1f1f1f"/>
          </w:rPr>
          <m:t xml:space="preserve">1,000records/s</m:t>
        </m:r>
      </m:oMath>
      <w:r w:rsidDel="00000000" w:rsidR="00000000" w:rsidRPr="00000000">
        <w:rPr>
          <w:rFonts w:ascii="Google Sans" w:cs="Google Sans" w:eastAsia="Google Sans" w:hAnsi="Google Sans"/>
          <w:color w:val="1f1f1f"/>
          <w:rtl w:val="0"/>
        </w:rPr>
        <w:t xml:space="preserve"> write throughput. Consequently, provisioned streaming must support </w:t>
      </w:r>
      <w:r w:rsidDel="00000000" w:rsidR="00000000" w:rsidRPr="00000000">
        <w:rPr>
          <w:rFonts w:ascii="Google Sans" w:cs="Google Sans" w:eastAsia="Google Sans" w:hAnsi="Google Sans"/>
          <w:b w:val="1"/>
          <w:bCs w:val="1"/>
          <w:color w:val="1f1f1f"/>
          <w:rtl w:val="0"/>
        </w:rPr>
        <w:t xml:space="preserve">20 shards</w:t>
      </w:r>
      <w:r w:rsidDel="00000000" w:rsidR="00000000" w:rsidRPr="00000000">
        <w:rPr>
          <w:rFonts w:ascii="Google Sans" w:cs="Google Sans" w:eastAsia="Google Sans" w:hAnsi="Google Sans"/>
          <w:color w:val="1f1f1f"/>
          <w:rtl w:val="0"/>
        </w:rPr>
        <w:t xml:space="preserve"> (or run on </w:t>
      </w:r>
      <w:r w:rsidDel="00000000" w:rsidR="00000000" w:rsidRPr="00000000">
        <w:rPr>
          <w:rFonts w:ascii="Google Sans" w:cs="Google Sans" w:eastAsia="Google Sans" w:hAnsi="Google Sans"/>
          <w:b w:val="1"/>
          <w:bCs w:val="1"/>
          <w:color w:val="1f1f1f"/>
          <w:rtl w:val="0"/>
        </w:rPr>
        <w:t xml:space="preserve">Kinesis On-Demand</w:t>
      </w:r>
      <w:r w:rsidDel="00000000" w:rsidR="00000000" w:rsidRPr="00000000">
        <w:rPr>
          <w:rFonts w:ascii="Google Sans" w:cs="Google Sans" w:eastAsia="Google Sans" w:hAnsi="Google Sans"/>
          <w:color w:val="1f1f1f"/>
          <w:rtl w:val="0"/>
        </w:rPr>
        <w:t xml:space="preserve">, which natively bursts to </w:t>
      </w:r>
      <m:oMath>
        <m:r>
          <w:rPr>
            <w:rFonts w:ascii="Google Sans" w:cs="Google Sans" w:eastAsia="Google Sans" w:hAnsi="Google Sans"/>
            <w:color w:val="1f1f1f"/>
          </w:rPr>
          <m:t xml:space="preserve">200MB/s</m:t>
        </m:r>
      </m:oMath>
      <w:r w:rsidDel="00000000" w:rsidR="00000000" w:rsidRPr="00000000">
        <w:rPr>
          <w:rFonts w:ascii="Google Sans" w:cs="Google Sans" w:eastAsia="Google Sans" w:hAnsi="Google Sans"/>
          <w:color w:val="1f1f1f"/>
          <w:rtl w:val="0"/>
        </w:rPr>
        <w:t xml:space="preserve"> and </w:t>
      </w:r>
      <m:oMath>
        <m:r>
          <w:rPr>
            <w:rFonts w:ascii="Google Sans" w:cs="Google Sans" w:eastAsia="Google Sans" w:hAnsi="Google Sans"/>
            <w:color w:val="1f1f1f"/>
          </w:rPr>
          <m:t xml:space="preserve">200,000records/s</m:t>
        </m:r>
      </m:oMath>
      <w:r w:rsidDel="00000000" w:rsidR="00000000" w:rsidRPr="00000000">
        <w:rPr>
          <w:rFonts w:ascii="Google Sans" w:cs="Google Sans" w:eastAsia="Google Sans" w:hAnsi="Google Sans"/>
          <w:color w:val="1f1f1f"/>
          <w:rtl w:val="0"/>
        </w:rPr>
        <w:t xml:space="preserve"> without manual intervention).</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Operational Batch Ingestion Assumptions</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MES Production Orders:</w:t>
      </w:r>
      <w:r w:rsidDel="00000000" w:rsidR="00000000" w:rsidRPr="00000000">
        <w:rPr>
          <w:rFonts w:ascii="Google Sans" w:cs="Google Sans" w:eastAsia="Google Sans" w:hAnsi="Google Sans"/>
          <w:color w:val="1f1f1f"/>
          <w:rtl w:val="0"/>
        </w:rPr>
        <w:t xml:space="preserve"> </w:t>
      </w:r>
      <m:oMath>
        <m:r>
          <m:t>∼</m:t>
        </m:r>
        <m:r>
          <w:rPr>
            <w:rFonts w:ascii="Google Sans" w:cs="Google Sans" w:eastAsia="Google Sans" w:hAnsi="Google Sans"/>
            <w:color w:val="1f1f1f"/>
          </w:rPr>
          <m:t xml:space="preserve">60,000orders/month</m:t>
        </m:r>
      </m:oMath>
      <w:r w:rsidDel="00000000" w:rsidR="00000000" w:rsidRPr="00000000">
        <w:rPr>
          <w:rFonts w:ascii="Google Sans" w:cs="Google Sans" w:eastAsia="Google Sans" w:hAnsi="Google Sans"/>
          <w:color w:val="1f1f1f"/>
          <w:rtl w:val="0"/>
        </w:rPr>
        <w:t xml:space="preserve"> across 12 plants (</w:t>
      </w:r>
      <m:oMath>
        <m:r>
          <m:t>∼</m:t>
        </m:r>
        <m:r>
          <w:rPr>
            <w:rFonts w:ascii="Google Sans" w:cs="Google Sans" w:eastAsia="Google Sans" w:hAnsi="Google Sans"/>
            <w:color w:val="1f1f1f"/>
          </w:rPr>
          <m:t xml:space="preserve">5,000/plant/month</m:t>
        </m:r>
      </m:oMath>
      <w:r w:rsidDel="00000000" w:rsidR="00000000" w:rsidRPr="00000000">
        <w:rPr>
          <w:rFonts w:ascii="Google Sans" w:cs="Google Sans" w:eastAsia="Google Sans" w:hAnsi="Google Sans"/>
          <w:color w:val="1f1f1f"/>
          <w:rtl w:val="0"/>
        </w:rPr>
        <w:t xml:space="preserve">) captured via AWS Database Migration Service (DMS) CDC from on-prem SQL Server.</w:t>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Quality CMM Inspections:</w:t>
      </w:r>
      <w:r w:rsidDel="00000000" w:rsidR="00000000" w:rsidRPr="00000000">
        <w:rPr>
          <w:rFonts w:ascii="Google Sans" w:cs="Google Sans" w:eastAsia="Google Sans" w:hAnsi="Google Sans"/>
          <w:color w:val="1f1f1f"/>
          <w:rtl w:val="0"/>
        </w:rPr>
        <w:t xml:space="preserve"> </w:t>
      </w:r>
      <m:oMath>
        <m:r>
          <m:t>∼</m:t>
        </m:r>
        <m:r>
          <w:rPr>
            <w:rFonts w:ascii="Google Sans" w:cs="Google Sans" w:eastAsia="Google Sans" w:hAnsi="Google Sans"/>
            <w:color w:val="1f1f1f"/>
          </w:rPr>
          <m:t xml:space="preserve">150,000inspectionrecords/month</m:t>
        </m:r>
      </m:oMath>
      <w:r w:rsidDel="00000000" w:rsidR="00000000" w:rsidRPr="00000000">
        <w:rPr>
          <w:rFonts w:ascii="Google Sans" w:cs="Google Sans" w:eastAsia="Google Sans" w:hAnsi="Google Sans"/>
          <w:color w:val="1f1f1f"/>
          <w:rtl w:val="0"/>
        </w:rPr>
        <w:t xml:space="preserve"> landed via automated batch file drops to S3.</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CMMS Maintenance Records:</w:t>
      </w:r>
      <w:r w:rsidDel="00000000" w:rsidR="00000000" w:rsidRPr="00000000">
        <w:rPr>
          <w:rFonts w:ascii="Google Sans" w:cs="Google Sans" w:eastAsia="Google Sans" w:hAnsi="Google Sans"/>
          <w:color w:val="1f1f1f"/>
          <w:rtl w:val="0"/>
        </w:rPr>
        <w:t xml:space="preserve"> </w:t>
      </w:r>
      <m:oMath>
        <m:r>
          <m:t>∼</m:t>
        </m:r>
        <m:r>
          <w:rPr>
            <w:rFonts w:ascii="Google Sans" w:cs="Google Sans" w:eastAsia="Google Sans" w:hAnsi="Google Sans"/>
            <w:color w:val="1f1f1f"/>
          </w:rPr>
          <m:t xml:space="preserve">4,000maintenanceorders/month</m:t>
        </m:r>
      </m:oMath>
      <w:r w:rsidDel="00000000" w:rsidR="00000000" w:rsidRPr="00000000">
        <w:rPr>
          <w:rFonts w:ascii="Google Sans" w:cs="Google Sans" w:eastAsia="Google Sans" w:hAnsi="Google Sans"/>
          <w:color w:val="1f1f1f"/>
          <w:rtl w:val="0"/>
        </w:rPr>
        <w:t xml:space="preserve"> polled hourly via REST API / Amazon AppFlow.</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ERP Financial Data:</w:t>
      </w:r>
      <w:r w:rsidDel="00000000" w:rsidR="00000000" w:rsidRPr="00000000">
        <w:rPr>
          <w:rFonts w:ascii="Google Sans" w:cs="Google Sans" w:eastAsia="Google Sans" w:hAnsi="Google Sans"/>
          <w:color w:val="1f1f1f"/>
          <w:rtl w:val="0"/>
        </w:rPr>
        <w:t xml:space="preserve"> </w:t>
      </w:r>
      <m:oMath>
        <m:r>
          <m:t>∼</m:t>
        </m:r>
        <m:r>
          <w:rPr>
            <w:rFonts w:ascii="Google Sans" w:cs="Google Sans" w:eastAsia="Google Sans" w:hAnsi="Google Sans"/>
            <w:color w:val="1f1f1f"/>
          </w:rPr>
          <m:t xml:space="preserve">2,000,000generalledgerjournallines/month</m:t>
        </m:r>
      </m:oMath>
      <w:r w:rsidDel="00000000" w:rsidR="00000000" w:rsidRPr="00000000">
        <w:rPr>
          <w:rFonts w:ascii="Google Sans" w:cs="Google Sans" w:eastAsia="Google Sans" w:hAnsi="Google Sans"/>
          <w:color w:val="1f1f1f"/>
          <w:rtl w:val="0"/>
        </w:rPr>
        <w:t xml:space="preserve"> delivered via nightly batch extracts over SFTP (AWS Transfer Family) at 23:00 CT to meet the 07:00 CT gold table SLA.</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Compliance, Sovereignty &amp; Regulatory Assumptions</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TALON Export Control Compliance:</w:t>
      </w:r>
    </w:p>
    <w:p w:rsidR="00000000" w:rsidDel="00000000" w:rsidP="00000000" w:rsidRDefault="00000000" w:rsidRPr="00000000" w14:paraId="00000064">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TALON aerostructures represent defense articles governed by the International Traffic in Arms Regulations (ITAR) and Export Administration Regulations (EAR).</w:t>
      </w:r>
    </w:p>
    <w:p w:rsidR="00000000" w:rsidDel="00000000" w:rsidP="00000000" w:rsidRDefault="00000000" w:rsidRPr="00000000" w14:paraId="00000065">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Infrastructure Assumption:</w:t>
      </w:r>
      <w:r w:rsidDel="00000000" w:rsidR="00000000" w:rsidRPr="00000000">
        <w:rPr>
          <w:rFonts w:ascii="Google Sans" w:cs="Google Sans" w:eastAsia="Google Sans" w:hAnsi="Google Sans"/>
          <w:color w:val="1f1f1f"/>
          <w:rtl w:val="0"/>
        </w:rPr>
        <w:t xml:space="preserve"> TALON data is restricted to AWS US East (N. Virginia, us-east-1) and US West (Oregon, us-west-2). While AWS GovCloud is purpose-built for ITAR, enterprise commercial regions are assumed compliant </w:t>
      </w:r>
      <w:r w:rsidDel="00000000" w:rsidR="00000000" w:rsidRPr="00000000">
        <w:rPr>
          <w:rFonts w:ascii="Google Sans" w:cs="Google Sans" w:eastAsia="Google Sans" w:hAnsi="Google Sans"/>
          <w:i w:val="1"/>
          <w:iCs w:val="1"/>
          <w:color w:val="1f1f1f"/>
          <w:rtl w:val="0"/>
        </w:rPr>
        <w:t xml:space="preserve">provided</w:t>
      </w:r>
      <w:r w:rsidDel="00000000" w:rsidR="00000000" w:rsidRPr="00000000">
        <w:rPr>
          <w:rFonts w:ascii="Google Sans" w:cs="Google Sans" w:eastAsia="Google Sans" w:hAnsi="Google Sans"/>
          <w:color w:val="1f1f1f"/>
          <w:rtl w:val="0"/>
        </w:rPr>
        <w:t xml:space="preserve"> that data is protected using FIPS 140-3 validated endpoints, AWS KMS Customer Managed Keys (CMKs) with hardware security module (HSM) backing, and strict attribute-based access control (ABAC) restricting decryption privileges exclusively to confirmed U.S. Persons.</w:t>
      </w:r>
    </w:p>
    <w:p w:rsidR="00000000" w:rsidDel="00000000" w:rsidP="00000000" w:rsidRDefault="00000000" w:rsidRPr="00000000" w14:paraId="00000066">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Cross-cloud replication or OneLake shortcuts exposing TALON bill-of-materials, CMM coordinate measurements, or CAD/CAM toolpaths to Azure are prohibited unless the Azure tenant, Entra groups, and physical storage regions independently satisfy ITAR U.S. Person restrictions.</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Mexico Data Residency (Querétaro Plant):</w:t>
      </w:r>
    </w:p>
    <w:p w:rsidR="00000000" w:rsidDel="00000000" w:rsidP="00000000" w:rsidRDefault="00000000" w:rsidRPr="00000000" w14:paraId="00000068">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Mexican Federal Law on Protection of Personal Data Held by Private Parties (LFPDPPP) and labor tax regulations require employee records, payroll, and direct identity information to remain in-country.</w:t>
      </w:r>
    </w:p>
    <w:p w:rsidR="00000000" w:rsidDel="00000000" w:rsidP="00000000" w:rsidRDefault="00000000" w:rsidRPr="00000000" w14:paraId="00000069">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Infrastructure Assumption:</w:t>
      </w:r>
      <w:r w:rsidDel="00000000" w:rsidR="00000000" w:rsidRPr="00000000">
        <w:rPr>
          <w:rFonts w:ascii="Google Sans" w:cs="Google Sans" w:eastAsia="Google Sans" w:hAnsi="Google Sans"/>
          <w:color w:val="1f1f1f"/>
          <w:rtl w:val="0"/>
        </w:rPr>
        <w:t xml:space="preserve"> The AWS Mexico (Central) Region (mx-central-1) and Azure Mexico Central Region are utilized for hosting local edge compute, local database replicas, and HR/payroll processing. General ledger financial summaries and machine operational telemetry contain no personally identifiable information (PII) and are legally cleared for cross-border transit to the AWS US-based lakehouse under standard corporate data transfer agreements.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Data Modeling &amp; Data Dictionary Assumptions</w:t>
      </w:r>
    </w:p>
    <w:p w:rsidR="00000000" w:rsidDel="00000000" w:rsidP="00000000" w:rsidRDefault="00000000" w:rsidRPr="00000000" w14:paraId="0000006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Provisional Naming Convention:</w:t>
      </w:r>
      <w:r w:rsidDel="00000000" w:rsidR="00000000" w:rsidRPr="00000000">
        <w:rPr>
          <w:rFonts w:ascii="Google Sans" w:cs="Google Sans" w:eastAsia="Google Sans" w:hAnsi="Google Sans"/>
          <w:color w:val="1f1f1f"/>
          <w:rtl w:val="0"/>
        </w:rPr>
        <w:t xml:space="preserve"> All entity structures, join keys, and field names adopted in the architecture diagrams and ontology models represent logical placeholders. They are tagged with the namespace prov:: and will undergo automated schema migration once the physical DATA_DICTIONARY.md is ingested.</w:t>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Currency &amp; Standard Cost Handling:</w:t>
      </w:r>
      <w:r w:rsidDel="00000000" w:rsidR="00000000" w:rsidRPr="00000000">
        <w:rPr>
          <w:rFonts w:ascii="Google Sans" w:cs="Google Sans" w:eastAsia="Google Sans" w:hAnsi="Google Sans"/>
          <w:color w:val="1f1f1f"/>
          <w:rtl w:val="0"/>
        </w:rPr>
        <w:t xml:space="preserve"> Currency conversion from Mexican Pesos (MXN) to US Dollars (USD) occurs during the Silver ETL cleansing pipeline using daily closing exchange rates retrieved from the treasury REST API. All Gold P&amp;L variance tables are conformed and reported in USD, with original transaction currency preserved as audit metadata.</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Traceability Table: Binding Decisions to Required Deliverables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Binding Decision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Scope &amp; Core Rule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Impacted Part 1 Deliverables (AWS) DOCX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Impacted Part 2 Deliverables (Azure / Fabric) DOCX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Artifact / Section DOCX+ 1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AWS as Enterprise Finance System of Record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P1-DEL-01 (Logical Arch), P1-DEL-03 (Data Model), P1-DEL-05 (ADRs)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P2-DEL-01 (Azure Arch), P2-DEL-02 (Data Placement Matrix), P2-DEL-07 (Comparison)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walkthrough; Data Placement Matrix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S3 Gold Zone in Apache Iceberg Open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P1-DEL-01 (Arch Diagram), P1-DEL-03 (Data Model), P1-DEL-05 (ADR: S3 Tables/Iceberg)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P2-DEL-02 (Zero-Copy Matrix), P2-DEL-03 (Ontology Bindings)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 on Iceberg vs. Parquet; S3 Tables configuration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Amazon Redshift as AWS Warehouse; Zero-Copy for Part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P1-DEL-01 (Arch Diagram), P1-DEL-03 (Star Schema ERD), P1-DEL-05 (ADR: Redshift)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P2-DEL-01 (Azure Arch), P2-DEL-02 (Zero-Copy Matrix), P2-DEL-05 (Cross-Platform Governance)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 Schema ERD; Snowflake Iceberg External Volume spec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Streaming Ingestion Sized for 20,000 msg/s Peak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P1-DEL-01 (Streaming Flow), P1-DEL-04 (CF-10 &amp; DE-07 Map), P1-DEL-08 (Cost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P2-DEL-01 (Azure Edge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Kinesis Shard / On-Demand sizing calculation; ADR documentation of 10× NFR conflict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Sizing Scenarios (Scenario A: 600 Machines vs. Scenario B: 2,400 Machines)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P1-DEL-08 (AWS Pricing Calculator Scenarios A &amp;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P2-DEL-06 (Azure / Fabric Capacity Sizing &amp;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AWS Pricing Calculator URLs; Fabric F-SKU sizing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 Budget Limit (</w:t>
            </w:r>
            <m:oMath>
              <m:r>
                <w:rPr>
                  <w:rFonts w:ascii="Google Sans" w:cs="Google Sans" w:eastAsia="Google Sans" w:hAnsi="Google Sans"/>
                  <w:color w:val="1f1f1f"/>
                </w:rPr>
                <m:t xml:space="preserve">&lt;</m:t>
              </m:r>
            </m:oMath>
            <w:r w:rsidDel="00000000" w:rsidR="00000000" w:rsidRPr="00000000">
              <w:rPr>
                <w:rFonts w:ascii="Google Sans" w:cs="Google Sans" w:eastAsia="Google Sans" w:hAnsi="Google Sans"/>
                <w:color w:val="1f1f1f"/>
                <w:rtl w:val="0"/>
              </w:rPr>
              <w:t xml:space="preserve">18K/mo) Confined to AWS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P1-DEL-08 (Cost Model &amp; Well-Architected Cost Pillar)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P2-DEL-06 (Independent Azure FinOps &amp; SKU Estimate)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Scenario A Cost Summary; FinOps Tagging Specification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Cimarron Composites as 13th Site Add-On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P1-DEL-01 (Design vs. Sandbox Section)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P2-DEL-01 (Azure Arch), P2-DEL-02 (Data Placement), P2-DEL-03 (Ontology Multi-Hop)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Azure IoT Operations Edge diagram; Databricks UC spec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Mexico Data Residency (QRO Plant Payroll/HR)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P1-DEL-02 (Network/Security Diagram), P1-DEL-04 (CF-03 Global Infra), P1-DEL-06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P2-DEL-01 (Network Diagram), P2-DEL-05 (Purview Compliance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Multi-region routing diagram; ADR on Mexico Region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TALON Export Control (ITAR/EAR) US-Only Segregation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P1-DEL-02 (Security Arch), P1-DEL-06 (Lake Formation ABAC, KMS CMK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P2-DEL-03 (Ontology Rule: isExportControlled), P2-DEL-05 (Cross-Cloud Entra Guardrails)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Lake Formation tag policy; Fabric IQ RLS rule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Provisional Schema Status Pending Data Dictionary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P1-DEL-03 (Data Model &amp; Schema Definitions)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P2-DEL-03 (Fabric IQ Entity &amp; Property Definitions)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mapping appendix with prov:: tags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Scope Restriction: Omit Part 3 and HTML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P1-DEL-11 (Design vs. Sandbox Contextual Section)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(Build items excluded from Part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Written architecture packages and Draw.io deliverables</w:t>
            </w:r>
          </w:p>
        </w:tc>
      </w:tr>
    </w:tbl>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Unresolved Technical &amp; Academic Questions for the Professor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specific questions highlight ambiguities and contradictions in the source instructions. They are formulated for submission to the course instructor to confirm grading expectations:</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Conflict Regarding Ingestion Throughput Sizing:</w:t>
      </w:r>
    </w:p>
    <w:p w:rsidR="00000000" w:rsidDel="00000000" w:rsidP="00000000" w:rsidRDefault="00000000" w:rsidRPr="00000000" w14:paraId="000000AE">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Context:</w:t>
      </w:r>
      <w:r w:rsidDel="00000000" w:rsidR="00000000" w:rsidRPr="00000000">
        <w:rPr>
          <w:rFonts w:ascii="Google Sans" w:cs="Google Sans" w:eastAsia="Google Sans" w:hAnsi="Google Sans"/>
          <w:color w:val="1f1f1f"/>
          <w:rtl w:val="0"/>
        </w:rPr>
        <w:t xml:space="preserve"> The Data Sources table dictates an average of </w:t>
      </w:r>
      <m:oMath>
        <m:r>
          <w:rPr>
            <w:rFonts w:ascii="Google Sans" w:cs="Google Sans" w:eastAsia="Google Sans" w:hAnsi="Google Sans"/>
            <w:color w:val="1f1f1f"/>
          </w:rPr>
          <m:t xml:space="preserve">480msg/s</m:t>
        </m:r>
      </m:oMath>
      <w:r w:rsidDel="00000000" w:rsidR="00000000" w:rsidRPr="00000000">
        <w:rPr>
          <w:rFonts w:ascii="Google Sans" w:cs="Google Sans" w:eastAsia="Google Sans" w:hAnsi="Google Sans"/>
          <w:color w:val="1f1f1f"/>
          <w:rtl w:val="0"/>
        </w:rPr>
        <w:t xml:space="preserve"> with a peak burst of </w:t>
      </w:r>
      <m:oMath>
        <m:r>
          <w:rPr>
            <w:rFonts w:ascii="Google Sans" w:cs="Google Sans" w:eastAsia="Google Sans" w:hAnsi="Google Sans"/>
            <w:color w:val="1f1f1f"/>
          </w:rPr>
          <m:t xml:space="preserve">20,000msg/s</m:t>
        </m:r>
      </m:oMath>
      <w:r w:rsidDel="00000000" w:rsidR="00000000" w:rsidRPr="00000000">
        <w:rPr>
          <w:rFonts w:ascii="Google Sans" w:cs="Google Sans" w:eastAsia="Google Sans" w:hAnsi="Google Sans"/>
          <w:color w:val="1f1f1f"/>
          <w:rtl w:val="0"/>
        </w:rPr>
        <w:t xml:space="preserve">. The Non-Functional Requirements table specifies absorbing "10× telemetry bursts" (</w:t>
      </w:r>
      <m:oMath>
        <m:r>
          <w:rPr>
            <w:rFonts w:ascii="Google Sans" w:cs="Google Sans" w:eastAsia="Google Sans" w:hAnsi="Google Sans"/>
            <w:color w:val="1f1f1f"/>
          </w:rPr>
          <m:t xml:space="preserve">4,800msg/s</m:t>
        </m:r>
      </m:oMath>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1"/>
          <w:numId w:val="1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Question:</w:t>
      </w:r>
      <w:r w:rsidDel="00000000" w:rsidR="00000000" w:rsidRPr="00000000">
        <w:rPr>
          <w:rFonts w:ascii="Google Sans" w:cs="Google Sans" w:eastAsia="Google Sans" w:hAnsi="Google Sans"/>
          <w:color w:val="1f1f1f"/>
          <w:rtl w:val="0"/>
        </w:rPr>
        <w:t xml:space="preserve"> "For the AWS Pricing Calculator and Kinesis dimensioning in Deliverable 8, should the provisioned capacity be priced against the </w:t>
      </w:r>
      <m:oMath>
        <m:r>
          <w:rPr>
            <w:rFonts w:ascii="Google Sans" w:cs="Google Sans" w:eastAsia="Google Sans" w:hAnsi="Google Sans"/>
            <w:color w:val="1f1f1f"/>
          </w:rPr>
          <m:t xml:space="preserve">20,000msg/s</m:t>
        </m:r>
      </m:oMath>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41.7</m:t>
        </m:r>
        <m:r>
          <w:rPr>
            <w:rFonts w:ascii="Google Sans" w:cs="Google Sans" w:eastAsia="Google Sans" w:hAnsi="Google Sans"/>
            <w:color w:val="1f1f1f"/>
          </w:rPr>
          <m:t>×</m:t>
        </m:r>
      </m:oMath>
      <w:r w:rsidDel="00000000" w:rsidR="00000000" w:rsidRPr="00000000">
        <w:rPr>
          <w:rFonts w:ascii="Google Sans" w:cs="Google Sans" w:eastAsia="Google Sans" w:hAnsi="Google Sans"/>
          <w:color w:val="1f1f1f"/>
          <w:rtl w:val="0"/>
        </w:rPr>
        <w:t xml:space="preserve">) burst ceiling, or should we assume Kinesis On-Demand mode scaling dynamically from a baseline of </w:t>
      </w:r>
      <m:oMath>
        <m:r>
          <w:rPr>
            <w:rFonts w:ascii="Google Sans" w:cs="Google Sans" w:eastAsia="Google Sans" w:hAnsi="Google Sans"/>
            <w:color w:val="1f1f1f"/>
          </w:rPr>
          <m:t xml:space="preserve">480msg/s</m:t>
        </m:r>
      </m:oMath>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Definition of Scenario A Machine Count:</w:t>
      </w:r>
    </w:p>
    <w:p w:rsidR="00000000" w:rsidDel="00000000" w:rsidP="00000000" w:rsidRDefault="00000000" w:rsidRPr="00000000" w14:paraId="000000B1">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Context:</w:t>
      </w:r>
      <w:r w:rsidDel="00000000" w:rsidR="00000000" w:rsidRPr="00000000">
        <w:rPr>
          <w:rFonts w:ascii="Google Sans" w:cs="Google Sans" w:eastAsia="Google Sans" w:hAnsi="Google Sans"/>
          <w:color w:val="1f1f1f"/>
          <w:rtl w:val="0"/>
        </w:rPr>
        <w:t xml:space="preserve"> The kickoff materials state that the pilot data pack slice reflects 24 machines across 3 plants, while the target enterprise has 2,400 machines across 12 plants (</w:t>
      </w:r>
      <m:oMath>
        <m:r>
          <w:rPr>
            <w:rFonts w:ascii="Google Sans" w:cs="Google Sans" w:eastAsia="Google Sans" w:hAnsi="Google Sans"/>
            <w:color w:val="1f1f1f"/>
          </w:rPr>
          <m:t xml:space="preserve">200machines/plant</m:t>
        </m:r>
      </m:oMath>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1"/>
          <w:numId w:val="1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Question:</w:t>
      </w:r>
      <w:r w:rsidDel="00000000" w:rsidR="00000000" w:rsidRPr="00000000">
        <w:rPr>
          <w:rFonts w:ascii="Google Sans" w:cs="Google Sans" w:eastAsia="Google Sans" w:hAnsi="Google Sans"/>
          <w:color w:val="1f1f1f"/>
          <w:rtl w:val="0"/>
        </w:rPr>
        <w:t xml:space="preserve"> "For Scenario A (3-plant pilot cost estimate under the $\$18,000/\text{month}$ ceiling), should we cost the telemetry ingestion for the 24 instrumented pilot machines, or for a full 3-plant production deployment of approximately 600 machines?"</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TALON Defense Data Cloud Authorization Level:</w:t>
      </w:r>
    </w:p>
    <w:p w:rsidR="00000000" w:rsidDel="00000000" w:rsidP="00000000" w:rsidRDefault="00000000" w:rsidRPr="00000000" w14:paraId="000000B4">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Context:</w:t>
      </w:r>
      <w:r w:rsidDel="00000000" w:rsidR="00000000" w:rsidRPr="00000000">
        <w:rPr>
          <w:rFonts w:ascii="Google Sans" w:cs="Google Sans" w:eastAsia="Google Sans" w:hAnsi="Google Sans"/>
          <w:color w:val="1f1f1f"/>
          <w:rtl w:val="0"/>
        </w:rPr>
        <w:t xml:space="preserve"> TALON military trainer data is designated as export-controlled.</w:t>
      </w:r>
    </w:p>
    <w:p w:rsidR="00000000" w:rsidDel="00000000" w:rsidP="00000000" w:rsidRDefault="00000000" w:rsidRPr="00000000" w14:paraId="000000B5">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Question:</w:t>
      </w:r>
      <w:r w:rsidDel="00000000" w:rsidR="00000000" w:rsidRPr="00000000">
        <w:rPr>
          <w:rFonts w:ascii="Google Sans" w:cs="Google Sans" w:eastAsia="Google Sans" w:hAnsi="Google Sans"/>
          <w:color w:val="1f1f1f"/>
          <w:rtl w:val="0"/>
        </w:rPr>
        <w:t xml:space="preserve"> "Does AeroForge require hosting in an isolated government cloud enclave (such as AWS GovCloud US and Azure Government) to meet DoD ITAR requirements, or does the grading rubric expect commercial US regions (e.g., us-east-1 and us-west-2) configured with client-side KMS encryption and Lake Formation ABAC restricted to US Persons?"</w:t>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Cimarron Ingestion Topology and Edge Footprint:</w:t>
      </w:r>
    </w:p>
    <w:p w:rsidR="00000000" w:rsidDel="00000000" w:rsidP="00000000" w:rsidRDefault="00000000" w:rsidRPr="00000000" w14:paraId="000000B7">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Context:</w:t>
      </w:r>
      <w:r w:rsidDel="00000000" w:rsidR="00000000" w:rsidRPr="00000000">
        <w:rPr>
          <w:rFonts w:ascii="Google Sans" w:cs="Google Sans" w:eastAsia="Google Sans" w:hAnsi="Google Sans"/>
          <w:color w:val="1f1f1f"/>
          <w:rtl w:val="0"/>
        </w:rPr>
        <w:t xml:space="preserve"> Part 2 introduces Cimarron Composites as an acquired facility with Azure Databricks, Snowflake, and Microsoft 365, but omits ingestion sizing.</w:t>
      </w:r>
    </w:p>
    <w:p w:rsidR="00000000" w:rsidDel="00000000" w:rsidP="00000000" w:rsidRDefault="00000000" w:rsidRPr="00000000" w14:paraId="000000B8">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Question:</w:t>
      </w:r>
      <w:r w:rsidDel="00000000" w:rsidR="00000000" w:rsidRPr="00000000">
        <w:rPr>
          <w:rFonts w:ascii="Google Sans" w:cs="Google Sans" w:eastAsia="Google Sans" w:hAnsi="Google Sans"/>
          <w:color w:val="1f1f1f"/>
          <w:rtl w:val="0"/>
        </w:rPr>
        <w:t xml:space="preserve"> "Should Cimarron's machine telemetry route directly into Microsoft Fabric Real-Time Intelligence via Azure IoT Operations, or must Cimarron's shop floor be standardized to route through AWS IoT Core to maintain AWS as the single system of record for all physical telemetry?"</w:t>
      </w:r>
    </w:p>
    <w:p w:rsidR="00000000" w:rsidDel="00000000" w:rsidP="00000000" w:rsidRDefault="00000000" w:rsidRPr="00000000" w14:paraId="000000B9">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WBS Deliverable Alignment (Nov 1 / Nov 8 Draft Scope vs. Nov 29 Freeze):</w:t>
      </w:r>
    </w:p>
    <w:p w:rsidR="00000000" w:rsidDel="00000000" w:rsidP="00000000" w:rsidRDefault="00000000" w:rsidRPr="00000000" w14:paraId="000000BA">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Context:</w:t>
      </w:r>
      <w:r w:rsidDel="00000000" w:rsidR="00000000" w:rsidRPr="00000000">
        <w:rPr>
          <w:rFonts w:ascii="Google Sans" w:cs="Google Sans" w:eastAsia="Google Sans" w:hAnsi="Google Sans"/>
          <w:color w:val="1f1f1f"/>
          <w:rtl w:val="0"/>
        </w:rPr>
        <w:t xml:space="preserve"> WBS #3 (Nov 1) and WBS #6 (Nov 8) list partial draft scopes ("diagram, coverage map, ADRs"), whereas Deliverables Sections list 11 full deliverables for Part 1 and 9 for Part 2. Furthermore, WBS #11 freezes all repositories on Sunday, Nov 29, three days prior to the Dec 2 final presentation.</w:t>
      </w:r>
    </w:p>
    <w:p w:rsidR="00000000" w:rsidDel="00000000" w:rsidP="00000000" w:rsidRDefault="00000000" w:rsidRPr="00000000" w14:paraId="000000BB">
      <w:pPr>
        <w:numPr>
          <w:ilvl w:val="1"/>
          <w:numId w:val="2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Question:</w:t>
      </w:r>
      <w:r w:rsidDel="00000000" w:rsidR="00000000" w:rsidRPr="00000000">
        <w:rPr>
          <w:rFonts w:ascii="Google Sans" w:cs="Google Sans" w:eastAsia="Google Sans" w:hAnsi="Google Sans"/>
          <w:color w:val="1f1f1f"/>
          <w:rtl w:val="0"/>
        </w:rPr>
        <w:t xml:space="preserve"> "Are the intermediate submissions on Nov 1 (Part 1) and Nov 8 (Part 2) graded on the partial WBS checklist or the complete deliverable suite, and is Sunday, Nov 29 at 11:59 PM the final hard deadline for all written package updates?"</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Official Documentation Verification Register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matrix documents the verification of technical claims against official documentation from AWS, Microsoft, and Snowflake: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 / Feature Claim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Vendor &amp; Official Product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Verification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Documentation Findings &amp; Operational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AWS Mexico (Central) Region Availability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Amazon Web Services (mx-central-1)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Launched on January 14–15, 2025 with 3 Availability Zones. Provides local data residency within Mexican territory. Foundational services (EC2, S3, KMS, VPC, IAM) are available; however, high-level AI services (such as Amazon Bedrock) are not locally hosted and require cross-region endpoint routing to US East.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Azure Mexico Central Region Availability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Azure (Querétaro)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Operationally launched in May 2024 with 3 Availability Zones. Supports local Azure VMs, Azure SQL, Event Hubs, and ExpressRoute. Fabric capacity (F-SKUs) availability must be provisioned in supported North American regions if local capacity units are constrained.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Amazon S3 Tables Native Apache Iceberg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Amazon Web Services (S3 Tables)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managed Apache Iceberg table support built into Amazon S3. Exposes an open Iceberg REST Catalog endpoint, automates continuous background compaction, snapshot management, and integrates natively with Athena, Redshift, Spark, and Snowflake.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OneLake External Shortcuts to Amazon S3 Iceberg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Fabric (OneLake)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OneLake natively supports shortcuts to Apache Iceberg (v2) tables hosted on Amazon S3. Fabric auto-generates Delta Lake transaction metadata on the fly without duplicating the underlying Parquet files. Workspaces requiring Azure Private Link require specific network traversal rules, and cross-cloud egress is billed by AWS on reads.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Snowflake Unmanaged Iceberg Tables via AWS S3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Snowflake on Azure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Snowflake supports Iceberg tables referencing customer-managed External Volumes on AWS S3 with an External Catalog Integration (AWS Glue or Iceberg REST Catalog). Snowflake stores only local metadata and query cache; underlying Parquet files remain in S3. Cross-cloud queries from Azure incur standard AWS S3 egress fees.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Fabric IQ Ontology Item Maturity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Fabric (Fabric IQ)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 (Public Preview)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of late 2026, the Fabric IQ Ontology item remains in </w:t>
            </w:r>
            <w:r w:rsidDel="00000000" w:rsidR="00000000" w:rsidRPr="00000000">
              <w:rPr>
                <w:rFonts w:ascii="Google Sans" w:cs="Google Sans" w:eastAsia="Google Sans" w:hAnsi="Google Sans"/>
                <w:b w:val="1"/>
                <w:bCs w:val="1"/>
                <w:color w:val="1f1f1f"/>
                <w:rtl w:val="0"/>
              </w:rPr>
              <w:t xml:space="preserve">Public Preview</w:t>
            </w:r>
            <w:r w:rsidDel="00000000" w:rsidR="00000000" w:rsidRPr="00000000">
              <w:rPr>
                <w:rFonts w:ascii="Google Sans" w:cs="Google Sans" w:eastAsia="Google Sans" w:hAnsi="Google Sans"/>
                <w:color w:val="1f1f1f"/>
                <w:rtl w:val="0"/>
              </w:rPr>
              <w:t xml:space="preserve">. While Graph, Operations Agent, and Plan are generally available, Microsoft documentation explicitly cautions against unmitigated production deployment for mission-critical SOX/ITAR workloads due to potential breaking changes in MCP APIs and entity definition schemas.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Amazon Bedrock AgentCore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Amazon Web Services (Bedrock 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Partially Verified / Reconciled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AWS documentation defines </w:t>
            </w:r>
            <w:r w:rsidDel="00000000" w:rsidR="00000000" w:rsidRPr="00000000">
              <w:rPr>
                <w:rFonts w:ascii="Google Sans" w:cs="Google Sans" w:eastAsia="Google Sans" w:hAnsi="Google Sans"/>
                <w:b w:val="1"/>
                <w:bCs w:val="1"/>
                <w:color w:val="1f1f1f"/>
                <w:rtl w:val="0"/>
              </w:rPr>
              <w:t xml:space="preserve">Amazon Bedrock Agents</w:t>
            </w:r>
            <w:r w:rsidDel="00000000" w:rsidR="00000000" w:rsidRPr="00000000">
              <w:rPr>
                <w:rFonts w:ascii="Google Sans" w:cs="Google Sans" w:eastAsia="Google Sans" w:hAnsi="Google Sans"/>
                <w:color w:val="1f1f1f"/>
                <w:rtl w:val="0"/>
              </w:rPr>
              <w:t xml:space="preserve"> (comprising Agent Runtime, Action Groups backed by AWS Lambda/OpenAPI, Knowledge Bases for RAG, and Bedrock Guardrails). The term "Bedrock AgentCore" referenced in project instructions aligns functionally with the Bedrock Agent Runtime and Gateway architecture supporting Model Context Protocol (MCP) integrations.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Snowflake Cortex Analyst Semantic Views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Snowflake Inc.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Cortex Analyst provides natural-language-to-SQL generation over governed, structured Snowflake data via YAML-defined semantic data models. Used to answer financial variance inquiries from conformed data without custom LLM fine-tuning.</w:t>
            </w:r>
          </w:p>
        </w:tc>
      </w:tr>
    </w:tbl>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Verification Summary</w:t>
      </w:r>
    </w:p>
    <w:p w:rsidR="00000000" w:rsidDel="00000000" w:rsidP="00000000" w:rsidRDefault="00000000" w:rsidRPr="00000000" w14:paraId="000000E3">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Source Reading Completion:</w:t>
      </w:r>
      <w:r w:rsidDel="00000000" w:rsidR="00000000" w:rsidRPr="00000000">
        <w:rPr>
          <w:rFonts w:ascii="Google Sans" w:cs="Google Sans" w:eastAsia="Google Sans" w:hAnsi="Google Sans"/>
          <w:color w:val="1f1f1f"/>
          <w:rtl w:val="0"/>
        </w:rPr>
        <w:t xml:space="preserve"> All four source materials (Part 1 AWS Design, Part 2 Azure Design, Class Kickoff HTML/JS, and the Teammate Comparison Diagram) have been analyzed and mapped into the requirements register and architecture baseline.</w:t>
      </w:r>
    </w:p>
    <w:p w:rsidR="00000000" w:rsidDel="00000000" w:rsidP="00000000" w:rsidRDefault="00000000" w:rsidRPr="00000000" w14:paraId="000000E4">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Missing Components Acknowledged:</w:t>
      </w:r>
      <w:r w:rsidDel="00000000" w:rsidR="00000000" w:rsidRPr="00000000">
        <w:rPr>
          <w:rFonts w:ascii="Google Sans" w:cs="Google Sans" w:eastAsia="Google Sans" w:hAnsi="Google Sans"/>
          <w:color w:val="1f1f1f"/>
          <w:rtl w:val="0"/>
        </w:rPr>
        <w:t xml:space="preserve"> The physical Data Pack files, DATA_DICTIONARY.md, SOP documentation, and companion text for the comparison diagram were not provided in the environment; provisional models have been established to prevent ungrounded assumptions.</w:t>
      </w:r>
    </w:p>
    <w:p w:rsidR="00000000" w:rsidDel="00000000" w:rsidP="00000000" w:rsidRDefault="00000000" w:rsidRPr="00000000" w14:paraId="000000E5">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Core Architectural Trade-Off:</w:t>
      </w:r>
      <w:r w:rsidDel="00000000" w:rsidR="00000000" w:rsidRPr="00000000">
        <w:rPr>
          <w:rFonts w:ascii="Google Sans" w:cs="Google Sans" w:eastAsia="Google Sans" w:hAnsi="Google Sans"/>
          <w:color w:val="1f1f1f"/>
          <w:rtl w:val="0"/>
        </w:rPr>
        <w:t xml:space="preserve"> The baseline confirms that while OneLake shortcuts and Snowflake external tables honor the CIO's "no third copy" rule from a storage standpoint, they introduce significant cross-cloud network egress costs that must be actively managed via caching and summary rollups in the upcoming ADRs.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