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40"/>
        </w:rPr>
        <w:t>01 - Business Scope and Governance</w:t>
      </w:r>
    </w:p>
    <w:p>
      <w:pPr>
        <w:jc w:val="center"/>
      </w:pPr>
      <w:r>
        <w:rPr>
          <w:i/>
          <w:sz w:val="20"/>
        </w:rPr>
        <w:t>Version 1.2 Final Developer Specification | 2026-06-22</w:t>
      </w:r>
    </w:p>
    <w:p/>
    <w:p>
      <w:pPr>
        <w:pStyle w:val="Heading1"/>
      </w:pPr>
      <w:r>
        <w:t>V1.2 Synchronisation Notice</w:t>
      </w:r>
    </w:p>
    <w:p>
      <w:r>
        <w:t>This document has been synchronised with all confirmed product-owner answers from Q1-Q171 and the final Batch 4 confirmation. It is aligned with the V1.2 master report and the V1.2 sub-document package.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2880"/>
            <w:vAlign w:val="top"/>
            <w:shd w:fill="D9EAF7"/>
          </w:tcPr>
          <w:p>
            <w:r/>
            <w:r>
              <w:rPr>
                <w:b/>
                <w:sz w:val="17"/>
              </w:rPr>
              <w:t>Area</w:t>
            </w:r>
          </w:p>
        </w:tc>
        <w:tc>
          <w:tcPr>
            <w:tcW w:type="dxa" w:w="7920"/>
            <w:vAlign w:val="top"/>
            <w:shd w:fill="D9EAF7"/>
          </w:tcPr>
          <w:p>
            <w:r/>
            <w:r>
              <w:rPr>
                <w:b/>
                <w:sz w:val="17"/>
              </w:rPr>
              <w:t>Final V1.2 Decision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7"/>
              </w:rPr>
              <w:t>Product positioning</w:t>
            </w:r>
          </w:p>
        </w:tc>
        <w:tc>
          <w:tcPr>
            <w:tcW w:type="dxa" w:w="7920"/>
            <w:vAlign w:val="top"/>
          </w:tcPr>
          <w:p>
            <w:r/>
            <w:r>
              <w:rPr>
                <w:b w:val="0"/>
                <w:sz w:val="17"/>
              </w:rPr>
              <w:t>Sydney Property Data Report Platform and Buyer Decision Support Platform.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7"/>
              </w:rPr>
              <w:t>Role model</w:t>
            </w:r>
          </w:p>
        </w:tc>
        <w:tc>
          <w:tcPr>
            <w:tcW w:type="dxa" w:w="7920"/>
            <w:vAlign w:val="top"/>
          </w:tcPr>
          <w:p>
            <w:r/>
            <w:r>
              <w:rPr>
                <w:b w:val="0"/>
                <w:sz w:val="17"/>
              </w:rPr>
              <w:t>Front-end users are all Consumers/Customers. No separate agent or organisation roles in MVP.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7"/>
              </w:rPr>
              <w:t>Geography</w:t>
            </w:r>
          </w:p>
        </w:tc>
        <w:tc>
          <w:tcPr>
            <w:tcW w:type="dxa" w:w="7920"/>
            <w:vAlign w:val="top"/>
          </w:tcPr>
          <w:p>
            <w:r/>
            <w:r>
              <w:rPr>
                <w:b w:val="0"/>
                <w:sz w:val="17"/>
              </w:rPr>
              <w:t>Suburb is the minimum reportable unit. Postcode is a search/selection entry and must resolve through database-confirmed suburb/postcode relationships.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7"/>
              </w:rPr>
              <w:t>Model display</w:t>
            </w:r>
          </w:p>
        </w:tc>
        <w:tc>
          <w:tcPr>
            <w:tcW w:type="dxa" w:w="7920"/>
            <w:vAlign w:val="top"/>
          </w:tcPr>
          <w:p>
            <w:r/>
            <w:r>
              <w:rPr>
                <w:b w:val="0"/>
                <w:sz w:val="17"/>
              </w:rPr>
              <w:t>Paid PDF reports may display actual prediction numbers; LLM explains them using governed context, warnings and versioned templates.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7"/>
              </w:rPr>
              <w:t>Report availability</w:t>
            </w:r>
          </w:p>
        </w:tc>
        <w:tc>
          <w:tcPr>
            <w:tcW w:type="dxa" w:w="7920"/>
            <w:vAlign w:val="top"/>
          </w:tcPr>
          <w:p>
            <w:r/>
            <w:r>
              <w:rPr>
                <w:b w:val="0"/>
                <w:sz w:val="17"/>
              </w:rPr>
              <w:t>If report_generation_allowed_flag = 0, purchase/report generation is blocked or shown as report unavailable unless Super Admin override is applied.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7"/>
              </w:rPr>
              <w:t>Data architecture</w:t>
            </w:r>
          </w:p>
        </w:tc>
        <w:tc>
          <w:tcPr>
            <w:tcW w:type="dxa" w:w="7920"/>
            <w:vAlign w:val="top"/>
          </w:tcPr>
          <w:p>
            <w:r/>
            <w:r>
              <w:rPr>
                <w:b w:val="0"/>
                <w:sz w:val="17"/>
              </w:rPr>
              <w:t>Front end reads pre-generated scoring table. Backend performs scheduled refresh and model service calls for recalculation/batch generation.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7"/>
              </w:rPr>
              <w:t>Entitlement</w:t>
            </w:r>
          </w:p>
        </w:tc>
        <w:tc>
          <w:tcPr>
            <w:tcW w:type="dxa" w:w="7920"/>
            <w:vAlign w:val="top"/>
          </w:tcPr>
          <w:p>
            <w:r/>
            <w:r>
              <w:rPr>
                <w:b w:val="0"/>
                <w:sz w:val="17"/>
              </w:rPr>
              <w:t>Subscription grants Sydney advanced browsing and 30 paid PDF reports per billing cycle. 10-pack is 10 report credits.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7"/>
              </w:rPr>
              <w:t>Admin finalisation</w:t>
            </w:r>
          </w:p>
        </w:tc>
        <w:tc>
          <w:tcPr>
            <w:tcW w:type="dxa" w:w="7920"/>
            <w:vAlign w:val="top"/>
          </w:tcPr>
          <w:p>
            <w:r/>
            <w:r>
              <w:rPr>
                <w:b w:val="0"/>
                <w:sz w:val="17"/>
              </w:rPr>
              <w:t>Normal Admin can refund, add/return credit, extend subscriptions, view full profile questionnaires and handle support; Super Admin manages system-level controls.</w:t>
            </w:r>
          </w:p>
        </w:tc>
      </w:tr>
    </w:tbl>
    <w:p/>
    <w:p>
      <w:pPr>
        <w:pStyle w:val="Heading1"/>
      </w:pPr>
      <w:r>
        <w:t>1. Product Boundary</w:t>
      </w:r>
    </w:p>
    <w:p>
      <w:pPr>
        <w:pStyle w:val="ListBullet"/>
      </w:pPr>
      <w:r>
        <w:t>The product is a Sydney property data report and buyer decision-support platform.</w:t>
      </w:r>
    </w:p>
    <w:p>
      <w:pPr>
        <w:pStyle w:val="ListBullet"/>
      </w:pPr>
      <w:r>
        <w:t>It sells data/report services, not agency, brokerage or intermediary services.</w:t>
      </w:r>
    </w:p>
    <w:p>
      <w:pPr>
        <w:pStyle w:val="ListBullet"/>
      </w:pPr>
      <w:r>
        <w:t>Recommendation-like terms are allowed, but reports must include explanation, uncertainty and warnings.</w:t>
      </w:r>
    </w:p>
    <w:p>
      <w:pPr>
        <w:pStyle w:val="ListBullet"/>
      </w:pPr>
      <w:r>
        <w:t>The official external positioning should emphasise data report, suburb intelligence and buyer decision support.</w:t>
      </w:r>
    </w:p>
    <w:p>
      <w:pPr>
        <w:pStyle w:val="Heading1"/>
      </w:pPr>
      <w:r>
        <w:t>2. Consumer Wording Rules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3744"/>
            <w:vAlign w:val="top"/>
            <w:shd w:fill="D9EAF7"/>
          </w:tcPr>
          <w:p>
            <w:r/>
            <w:r>
              <w:rPr>
                <w:b/>
                <w:sz w:val="17"/>
              </w:rPr>
              <w:t>Allowed wording</w:t>
            </w:r>
          </w:p>
        </w:tc>
        <w:tc>
          <w:tcPr>
            <w:tcW w:type="dxa" w:w="6912"/>
            <w:vAlign w:val="top"/>
            <w:shd w:fill="D9EAF7"/>
          </w:tcPr>
          <w:p>
            <w:r/>
            <w:r>
              <w:rPr>
                <w:b/>
                <w:sz w:val="17"/>
              </w:rPr>
              <w:t>Use condition</w:t>
            </w:r>
          </w:p>
        </w:tc>
      </w:tr>
      <w:tr>
        <w:tc>
          <w:tcPr>
            <w:tcW w:type="dxa" w:w="3744"/>
            <w:vAlign w:val="top"/>
          </w:tcPr>
          <w:p>
            <w:r/>
            <w:r>
              <w:rPr>
                <w:b w:val="0"/>
                <w:sz w:val="17"/>
              </w:rPr>
              <w:t>Recommendation / suitable / worth watching</w:t>
            </w:r>
          </w:p>
        </w:tc>
        <w:tc>
          <w:tcPr>
            <w:tcW w:type="dxa" w:w="6912"/>
            <w:vAlign w:val="top"/>
          </w:tcPr>
          <w:p>
            <w:r/>
            <w:r>
              <w:rPr>
                <w:b w:val="0"/>
                <w:sz w:val="17"/>
              </w:rPr>
              <w:t>Allowed when supported by profile match, actual scores and report context.</w:t>
            </w:r>
          </w:p>
        </w:tc>
      </w:tr>
      <w:tr>
        <w:tc>
          <w:tcPr>
            <w:tcW w:type="dxa" w:w="3744"/>
            <w:vAlign w:val="top"/>
          </w:tcPr>
          <w:p>
            <w:r/>
            <w:r>
              <w:rPr>
                <w:b w:val="0"/>
                <w:sz w:val="17"/>
              </w:rPr>
              <w:t>Potential area / high-growth area / low-risk area</w:t>
            </w:r>
          </w:p>
        </w:tc>
        <w:tc>
          <w:tcPr>
            <w:tcW w:type="dxa" w:w="6912"/>
            <w:vAlign w:val="top"/>
          </w:tcPr>
          <w:p>
            <w:r/>
            <w:r>
              <w:rPr>
                <w:b w:val="0"/>
                <w:sz w:val="17"/>
              </w:rPr>
              <w:t>Allowed with numeric context, confidence, and risk warning.</w:t>
            </w:r>
          </w:p>
        </w:tc>
      </w:tr>
      <w:tr>
        <w:tc>
          <w:tcPr>
            <w:tcW w:type="dxa" w:w="3744"/>
            <w:vAlign w:val="top"/>
          </w:tcPr>
          <w:p>
            <w:r/>
            <w:r>
              <w:rPr>
                <w:b w:val="0"/>
                <w:sz w:val="17"/>
              </w:rPr>
              <w:t>Investment return / buying opportunity / avoid this area</w:t>
            </w:r>
          </w:p>
        </w:tc>
        <w:tc>
          <w:tcPr>
            <w:tcW w:type="dxa" w:w="6912"/>
            <w:vAlign w:val="top"/>
          </w:tcPr>
          <w:p>
            <w:r/>
            <w:r>
              <w:rPr>
                <w:b w:val="0"/>
                <w:sz w:val="17"/>
              </w:rPr>
              <w:t>Allowed by owner confirmation, but formal report should provide balanced reasoning and disclaimers.</w:t>
            </w:r>
          </w:p>
        </w:tc>
      </w:tr>
    </w:tbl>
    <w:p/>
    <w:p>
      <w:pPr>
        <w:pStyle w:val="Heading1"/>
      </w:pPr>
      <w:r>
        <w:t>3. Blocked Report Governance</w:t>
      </w:r>
    </w:p>
    <w:p>
      <w:pPr>
        <w:pStyle w:val="ListBullet"/>
      </w:pPr>
      <w:r>
        <w:t>If report_generation_allowed_flag = 0, purchase/generation is disabled or report shown unavailable.</w:t>
      </w:r>
    </w:p>
    <w:p>
      <w:pPr>
        <w:pStyle w:val="ListBullet"/>
      </w:pPr>
      <w:r>
        <w:t>System displays report_block_reason where appropriate.</w:t>
      </w:r>
    </w:p>
    <w:p>
      <w:pPr>
        <w:pStyle w:val="ListBullet"/>
      </w:pPr>
      <w:r>
        <w:t>Super Admin can override blocked reports with reason and audit log.</w:t>
      </w:r>
    </w:p>
    <w:p>
      <w:pPr>
        <w:pStyle w:val="ListBullet"/>
      </w:pPr>
      <w:r>
        <w:t>Overridden reports must include a visible warning.</w:t>
      </w:r>
    </w:p>
    <w:p>
      <w:pPr>
        <w:pStyle w:val="Heading1"/>
      </w:pPr>
      <w:r>
        <w:t>4. Indicator Display Governance</w:t>
      </w:r>
    </w:p>
    <w:p>
      <w:pPr>
        <w:pStyle w:val="ListBullet"/>
      </w:pPr>
      <w:r>
        <w:t>Paid PDF may show actual prediction numbers.</w:t>
      </w:r>
    </w:p>
    <w:p>
      <w:pPr>
        <w:pStyle w:val="ListBullet"/>
      </w:pPr>
      <w:r>
        <w:t>Super Admin can control visibility of each indicator.</w:t>
      </w:r>
    </w:p>
    <w:p>
      <w:pPr>
        <w:pStyle w:val="ListBullet"/>
      </w:pPr>
      <w:r>
        <w:t>Low-confidence suburbs may still display numbers but require strong warning.</w:t>
      </w:r>
    </w:p>
    <w:p>
      <w:pPr>
        <w:pStyle w:val="ListBullet"/>
      </w:pPr>
      <w:r>
        <w:t>Each report must store data/model/scoring/template/profile/LLM versions.</w:t>
      </w:r>
    </w:p>
    <w:p>
      <w:pPr>
        <w:pStyle w:val="Heading1"/>
      </w:pPr>
      <w:r>
        <w:t>5. Watermark and Sharing Governance</w:t>
      </w:r>
    </w:p>
    <w:p>
      <w:pPr>
        <w:pStyle w:val="ListBullet"/>
      </w:pPr>
      <w:r>
        <w:t>HTML report requires login.</w:t>
      </w:r>
    </w:p>
    <w:p>
      <w:pPr>
        <w:pStyle w:val="ListBullet"/>
      </w:pPr>
      <w:r>
        <w:t>PDF can be downloaded and shared.</w:t>
      </w:r>
    </w:p>
    <w:p>
      <w:pPr>
        <w:pStyle w:val="ListBullet"/>
      </w:pPr>
      <w:r>
        <w:t>MVP does not need public share links.</w:t>
      </w:r>
    </w:p>
    <w:p>
      <w:pPr>
        <w:pStyle w:val="ListBullet"/>
      </w:pPr>
      <w:r>
        <w:t>PDF watermark appears on every page.</w:t>
      </w:r>
    </w:p>
    <w:p>
      <w:pPr>
        <w:pStyle w:val="Heading2"/>
      </w:pPr>
      <w:r>
        <w:t>6. Watermark Content</w:t>
      </w:r>
    </w:p>
    <w:p>
      <w:pPr>
        <w:pStyle w:val="ListBullet"/>
      </w:pPr>
      <w:r>
        <w:t>Generated for: [user email]</w:t>
      </w:r>
    </w:p>
    <w:p>
      <w:pPr>
        <w:pStyle w:val="ListBullet"/>
      </w:pPr>
      <w:r>
        <w:t>Report ID: [report_id]</w:t>
      </w:r>
    </w:p>
    <w:p>
      <w:pPr>
        <w:pStyle w:val="ListBullet"/>
      </w:pPr>
      <w:r>
        <w:t>Order ID: [order_id]</w:t>
      </w:r>
    </w:p>
    <w:p>
      <w:pPr>
        <w:pStyle w:val="ListBullet"/>
      </w:pPr>
      <w:r>
        <w:t>Generated date: [generated_at]</w:t>
      </w:r>
    </w:p>
    <w:p>
      <w:pPr>
        <w:pStyle w:val="ListBullet"/>
      </w:pPr>
      <w:r>
        <w:t>Not for redistribution</w:t>
      </w:r>
    </w:p>
    <w:sectPr w:rsidR="00FC693F" w:rsidRPr="0006063C" w:rsidSect="00034616"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