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02 - Users, Profiles, Personalisation and Entitlements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User Role Model</w:t>
      </w:r>
    </w:p>
    <w:p>
      <w:pPr>
        <w:pStyle w:val="ListBullet"/>
      </w:pPr>
      <w:r>
        <w:t>All front-end users are customers/consumers.</w:t>
      </w:r>
    </w:p>
    <w:p>
      <w:pPr>
        <w:pStyle w:val="ListBullet"/>
      </w:pPr>
      <w:r>
        <w:t>No separate agent or organisation role in MVP.</w:t>
      </w:r>
    </w:p>
    <w:p>
      <w:pPr>
        <w:pStyle w:val="ListBullet"/>
      </w:pPr>
      <w:r>
        <w:t>Admin and Super Admin exist only in backend.</w:t>
      </w:r>
    </w:p>
    <w:p>
      <w:pPr>
        <w:pStyle w:val="Heading1"/>
      </w:pPr>
      <w:r>
        <w:t>2. Buyer Profile Rules</w:t>
      </w:r>
    </w:p>
    <w:p>
      <w:pPr>
        <w:pStyle w:val="ListBullet"/>
      </w:pPr>
      <w:r>
        <w:t>Each user has one editable buyer profile.</w:t>
      </w:r>
    </w:p>
    <w:p>
      <w:pPr>
        <w:pStyle w:val="ListBullet"/>
      </w:pPr>
      <w:r>
        <w:t>Budget range is required for matching.</w:t>
      </w:r>
    </w:p>
    <w:p>
      <w:pPr>
        <w:pStyle w:val="ListBullet"/>
      </w:pPr>
      <w:r>
        <w:t>Reports store the profile snapshot used.</w:t>
      </w:r>
    </w:p>
    <w:p>
      <w:pPr>
        <w:pStyle w:val="ListBullet"/>
      </w:pPr>
      <w:r>
        <w:t>Future reports use the latest profile after edits; old reports remain tied to old snapshots.</w:t>
      </w:r>
    </w:p>
    <w:p>
      <w:pPr>
        <w:pStyle w:val="Heading1"/>
      </w:pPr>
      <w:r>
        <w:t>3. Profile Completeness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4464"/>
            <w:vAlign w:val="top"/>
            <w:shd w:fill="D9EAF7"/>
          </w:tcPr>
          <w:p>
            <w:r/>
            <w:r>
              <w:rPr>
                <w:b/>
                <w:sz w:val="17"/>
              </w:rPr>
              <w:t>Profile field</w:t>
            </w:r>
          </w:p>
        </w:tc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7"/>
              </w:rPr>
              <w:t>Weight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Budget range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Buying purpose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Property type preference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Preferred geography / target area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Mandatory via location/commute/area preference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Risk preference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Growth preference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Weighted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Liquidity preference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Weighted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Commute requirement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Weighted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Lifestyle priorities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Weighted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School / family needs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Weighted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Rental yield importance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Weighted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Future development tolerance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Weighted</w:t>
            </w:r>
          </w:p>
        </w:tc>
      </w:tr>
      <w:tr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Free-text notes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</w:tbl>
    <w:p/>
    <w:p>
      <w:pPr>
        <w:pStyle w:val="Heading1"/>
      </w:pPr>
      <w:r>
        <w:t>4. Matching Confidence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7"/>
              </w:rPr>
              <w:t>Score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Band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7"/>
              </w:rPr>
              <w:t>System Behaviour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0-39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Too incomplete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Matching unavailable.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40-59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Insufficient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User must answer more questions.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60-69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Low confidence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Matching allowed with warning.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70-84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Medium confidence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Matching allowed.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85-100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High confidence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7"/>
              </w:rPr>
              <w:t>Matching allowed with high confidence label.</w:t>
            </w:r>
          </w:p>
        </w:tc>
      </w:tr>
    </w:tbl>
    <w:p/>
    <w:p>
      <w:pPr>
        <w:pStyle w:val="Heading1"/>
      </w:pPr>
      <w:r>
        <w:t>5. Entitlement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User type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7"/>
              </w:rPr>
              <w:t>Access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Public map, boundaries, sample heatmap, price band, partial history.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Free registered user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Same as visitor plus free preview report without predictions.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Single-report user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Paid report and prediction data for purchased suburb/report area.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10-pack user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10 report credits; each successful report captures one credit.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Subscriber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Sydney advanced browsing plus 30 paid reports per billing cycle.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