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03 - Geography, Map and Search</w:t>
      </w:r>
    </w:p>
    <w:p>
      <w:pPr>
        <w:jc w:val="center"/>
      </w:pPr>
      <w:r>
        <w:rPr>
          <w:i/>
          <w:sz w:val="20"/>
        </w:rPr>
        <w:t>Version 1.2 Final Developer Specification | 2026-06-22</w:t>
      </w:r>
    </w:p>
    <w:p/>
    <w:p>
      <w:pPr>
        <w:pStyle w:val="Heading1"/>
      </w:pPr>
      <w:r>
        <w:t>V1.2 Synchronisation Notice</w:t>
      </w:r>
    </w:p>
    <w:p>
      <w:r>
        <w:t>This document has been synchronised with all confirmed product-owner answers from Q1-Q171 and the final Batch 4 confirmation. It is aligned with the V1.2 master report and the V1.2 sub-document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7"/>
              </w:rPr>
              <w:t>Final V1.2 Decision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Product positioning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Sydney Property Data Report Platform and Buyer Decision Support Platform.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Role model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Front-end users are all Consumers/Customers. No separate agent or organisation roles in MVP.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Suburb is the minimum reportable unit. Postcode is a search/selection entry and must resolve through database-confirmed suburb/postcode relationships.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Model display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Paid PDF reports may display actual prediction numbers; LLM explains them using governed context, warnings and versioned templates.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Report availability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If report_generation_allowed_flag = 0, purchase/report generation is blocked or shown as report unavailable unless Super Admin override is applied.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Data architecture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 end reads pre-generated scoring table. Backend performs scheduled refresh and model service calls for recalculation/batch generation.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Entitlement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Subscription grants Sydney advanced browsing and 30 paid PDF reports per billing cycle. 10-pack is 10 report credits.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Admin finalisation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Normal Admin can refund, add/return credit, extend subscriptions, view full profile questionnaires and handle support; Super Admin manages system-level controls.</w:t>
            </w:r>
          </w:p>
        </w:tc>
      </w:tr>
    </w:tbl>
    <w:p/>
    <w:p>
      <w:pPr>
        <w:pStyle w:val="Heading1"/>
      </w:pPr>
      <w:r>
        <w:t>1. Core Geography Decision</w:t>
      </w:r>
    </w:p>
    <w:p>
      <w:pPr>
        <w:pStyle w:val="ListBullet"/>
      </w:pPr>
      <w:r>
        <w:t>Suburb is the minimum reportable business unit.</w:t>
      </w:r>
    </w:p>
    <w:p>
      <w:pPr>
        <w:pStyle w:val="ListBullet"/>
      </w:pPr>
      <w:r>
        <w:t>Postcode is a search/selection entry and must resolve through database-confirmed mapping.</w:t>
      </w:r>
    </w:p>
    <w:p>
      <w:pPr>
        <w:pStyle w:val="ListBullet"/>
      </w:pPr>
      <w:r>
        <w:t>System supports one-to-one and many-to-many suburb/postcode relationships.</w:t>
      </w:r>
    </w:p>
    <w:p>
      <w:pPr>
        <w:pStyle w:val="ListBullet"/>
      </w:pPr>
      <w:r>
        <w:t>Arbitrary free-text input cannot become a report target without database match.</w:t>
      </w:r>
    </w:p>
    <w:p>
      <w:pPr>
        <w:pStyle w:val="ListBullet"/>
      </w:pPr>
      <w:r>
        <w:t>SA2, LGA and larger areas can be used for browsing/context, but detailed paid reports remain suburb-based unless later expanded.</w:t>
      </w:r>
    </w:p>
    <w:p>
      <w:pPr>
        <w:pStyle w:val="Heading1"/>
      </w:pPr>
      <w:r>
        <w:t>2. Selection Validation Workflow</w:t>
      </w:r>
    </w:p>
    <w:p>
      <w:pPr>
        <w:pStyle w:val="ListNumber"/>
      </w:pPr>
      <w:r>
        <w:t>User searches suburb or postcode.</w:t>
      </w:r>
    </w:p>
    <w:p>
      <w:pPr>
        <w:pStyle w:val="ListNumber"/>
      </w:pPr>
      <w:r>
        <w:t>System searches confirmed geography database.</w:t>
      </w:r>
    </w:p>
    <w:p>
      <w:pPr>
        <w:pStyle w:val="ListNumber"/>
      </w:pPr>
      <w:r>
        <w:t>System returns selectable suburb/postcode relationship records only.</w:t>
      </w:r>
    </w:p>
    <w:p>
      <w:pPr>
        <w:pStyle w:val="ListNumber"/>
      </w:pPr>
      <w:r>
        <w:t>User selects a confirmed record.</w:t>
      </w:r>
    </w:p>
    <w:p>
      <w:pPr>
        <w:pStyle w:val="ListNumber"/>
      </w:pPr>
      <w:r>
        <w:t>System checks report_generation_allowed_flag and data quality gates.</w:t>
      </w:r>
    </w:p>
    <w:p>
      <w:pPr>
        <w:pStyle w:val="ListNumber"/>
      </w:pPr>
      <w:r>
        <w:t>If valid, preview/checkout/generation proceeds; if blocked, report unavailable message is shown.</w:t>
      </w:r>
    </w:p>
    <w:p>
      <w:pPr>
        <w:pStyle w:val="Heading1"/>
      </w:pPr>
      <w:r>
        <w:t>3. Map Layer Entitlements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7"/>
              </w:rPr>
              <w:t>Visitor/Free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7"/>
              </w:rPr>
              <w:t>Paid Subscriber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Base map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Suburb/postcode boundaries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Sample heatmap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Price range layer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Partial history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Growth prediction layer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Risk layer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Liquidity layer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Composite score layer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Personal match layer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Future supply pressure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Rental yield layer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/>
    <w:p>
      <w:pPr>
        <w:pStyle w:val="Heading1"/>
      </w:pPr>
      <w:r>
        <w:t>4. Map Fallback Rule</w:t>
      </w:r>
    </w:p>
    <w:p>
      <w:pPr>
        <w:pStyle w:val="ListBullet"/>
      </w:pPr>
      <w:r>
        <w:t>If a paid layer fails to load, show base map and an error banner.</w:t>
      </w:r>
    </w:p>
    <w:p>
      <w:pPr>
        <w:pStyle w:val="ListBullet"/>
      </w:pPr>
      <w:r>
        <w:t>Failure of a visual layer does not alter entitlement or report ownership.</w:t>
      </w:r>
    </w:p>
    <w:p>
      <w:pPr>
        <w:pStyle w:val="ListBullet"/>
      </w:pPr>
      <w:r>
        <w:t>Public map should remain usable during paid layer failure.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