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04 - Report Products, LLM and Generation</w:t>
      </w:r>
    </w:p>
    <w:p>
      <w:pPr>
        <w:jc w:val="center"/>
      </w:pPr>
      <w:r>
        <w:rPr>
          <w:i/>
          <w:sz w:val="20"/>
        </w:rPr>
        <w:t>Version 1.2 Final Developer Specification | 2026-06-22</w:t>
      </w:r>
    </w:p>
    <w:p/>
    <w:p>
      <w:pPr>
        <w:pStyle w:val="Heading1"/>
      </w:pPr>
      <w:r>
        <w:t>V1.2 Synchronisation Notice</w:t>
      </w:r>
    </w:p>
    <w:p>
      <w:r>
        <w:t>This document has been synchronised with all confirmed product-owner answers from Q1-Q171 and the final Batch 4 confirmation. It is aligned with the V1.2 master report and the V1.2 sub-document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7"/>
              </w:rPr>
              <w:t>Final V1.2 Decision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Product positioning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Sydney Property Data Report Platform and Buyer Decision Support Platform.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Role model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Front-end users are all Consumers/Customers. No separate agent or organisation roles in MVP.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Suburb is the minimum reportable unit. Postcode is a search/selection entry and must resolve through database-confirmed suburb/postcode relationships.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Model display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Paid PDF reports may display actual prediction numbers; LLM explains them using governed context, warnings and versioned templates.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Report availability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If report_generation_allowed_flag = 0, purchase/report generation is blocked or shown as report unavailable unless Super Admin override is applied.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Data architecture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 end reads pre-generated scoring table. Backend performs scheduled refresh and model service calls for recalculation/batch generation.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Entitlement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Subscription grants Sydney advanced browsing and 30 paid PDF reports per billing cycle. 10-pack is 10 report credits.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Admin finalisation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Normal Admin can refund, add/return credit, extend subscriptions, view full profile questionnaires and handle support; Super Admin manages system-level controls.</w:t>
            </w:r>
          </w:p>
        </w:tc>
      </w:tr>
    </w:tbl>
    <w:p/>
    <w:p>
      <w:pPr>
        <w:pStyle w:val="Heading1"/>
      </w:pPr>
      <w:r>
        <w:t>1. Free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Rule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b/>
                <w:sz w:val="17"/>
              </w:rPr>
              <w:t>Detail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Included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Suburb Snapshot; Map Preview; Price Band; Historical Median Price; Sales Count History; Basic Demographic Snapshot; Data Freshness Summary; Upgrade CTA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Excluded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Growth Prediction; Risk Score; Liquidity Forecast; Personal Fit; Similar Suburbs; LLM Recommendation; PDF Download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Access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Preview-only; no PDF; visible watermark; free report must not request prediction data.</w:t>
            </w:r>
          </w:p>
        </w:tc>
      </w:tr>
    </w:tbl>
    <w:p/>
    <w:p>
      <w:pPr>
        <w:pStyle w:val="Heading1"/>
      </w:pPr>
      <w:r>
        <w:t>2. Paid Report Sections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Area Snapshot</w:t>
      </w:r>
    </w:p>
    <w:p>
      <w:pPr>
        <w:pStyle w:val="ListNumber"/>
      </w:pPr>
      <w:r>
        <w:t>Current Market Position</w:t>
      </w:r>
    </w:p>
    <w:p>
      <w:pPr>
        <w:pStyle w:val="ListNumber"/>
      </w:pPr>
      <w:r>
        <w:t>Historical Price Trend</w:t>
      </w:r>
    </w:p>
    <w:p>
      <w:pPr>
        <w:pStyle w:val="ListNumber"/>
      </w:pPr>
      <w:r>
        <w:t>1-Year Growth Signal</w:t>
      </w:r>
    </w:p>
    <w:p>
      <w:pPr>
        <w:pStyle w:val="ListNumber"/>
      </w:pPr>
      <w:r>
        <w:t>3-Year Growth Signal</w:t>
      </w:r>
    </w:p>
    <w:p>
      <w:pPr>
        <w:pStyle w:val="ListNumber"/>
      </w:pPr>
      <w:r>
        <w:t>Greater Sydney Comparison</w:t>
      </w:r>
    </w:p>
    <w:p>
      <w:pPr>
        <w:pStyle w:val="ListNumber"/>
      </w:pPr>
      <w:r>
        <w:t>Downside / Drawdown Risk</w:t>
      </w:r>
    </w:p>
    <w:p>
      <w:pPr>
        <w:pStyle w:val="ListNumber"/>
      </w:pPr>
      <w:r>
        <w:t>Liquidity / Transaction Depth</w:t>
      </w:r>
    </w:p>
    <w:p>
      <w:pPr>
        <w:pStyle w:val="ListNumber"/>
      </w:pPr>
      <w:r>
        <w:t>Unit Stock Share / Housing Mix</w:t>
      </w:r>
    </w:p>
    <w:p>
      <w:pPr>
        <w:pStyle w:val="ListNumber"/>
      </w:pPr>
      <w:r>
        <w:t>Rent and Yield Proxy</w:t>
      </w:r>
    </w:p>
    <w:p>
      <w:pPr>
        <w:pStyle w:val="ListNumber"/>
      </w:pPr>
      <w:r>
        <w:t>Population and Demographic Context</w:t>
      </w:r>
    </w:p>
    <w:p>
      <w:pPr>
        <w:pStyle w:val="ListNumber"/>
      </w:pPr>
      <w:r>
        <w:t>Planning / Supply Pressure</w:t>
      </w:r>
    </w:p>
    <w:p>
      <w:pPr>
        <w:pStyle w:val="ListNumber"/>
      </w:pPr>
      <w:r>
        <w:t>Data Quality and Confidence</w:t>
      </w:r>
    </w:p>
    <w:p>
      <w:pPr>
        <w:pStyle w:val="ListNumber"/>
      </w:pPr>
      <w:r>
        <w:t>Personal Fit Analysis</w:t>
      </w:r>
    </w:p>
    <w:p>
      <w:pPr>
        <w:pStyle w:val="ListNumber"/>
      </w:pPr>
      <w:r>
        <w:t>Similar Suburbs</w:t>
      </w:r>
    </w:p>
    <w:p>
      <w:pPr>
        <w:pStyle w:val="ListNumber"/>
      </w:pPr>
      <w:r>
        <w:t>Risk Warnings</w:t>
      </w:r>
    </w:p>
    <w:p>
      <w:pPr>
        <w:pStyle w:val="ListNumber"/>
      </w:pPr>
      <w:r>
        <w:t>Methodology and Disclaimer</w:t>
      </w:r>
    </w:p>
    <w:p>
      <w:pPr>
        <w:pStyle w:val="Heading1"/>
      </w:pPr>
      <w:r>
        <w:t>3. LLM Generation Rules</w:t>
      </w:r>
    </w:p>
    <w:p>
      <w:pPr>
        <w:pStyle w:val="ListBullet"/>
      </w:pPr>
      <w:r>
        <w:t>LLM can freely synthesise explanations and recommendations but must be constrained by rules and templates.</w:t>
      </w:r>
    </w:p>
    <w:p>
      <w:pPr>
        <w:pStyle w:val="ListBullet"/>
      </w:pPr>
      <w:r>
        <w:t>LLM uses actual data, prediction scores, profile snapshot, confidence, warnings and approved report template.</w:t>
      </w:r>
    </w:p>
    <w:p>
      <w:pPr>
        <w:pStyle w:val="ListBullet"/>
      </w:pPr>
      <w:r>
        <w:t>LLM must not invent unsupported figures or override entitlement/report availability rules.</w:t>
      </w:r>
    </w:p>
    <w:p>
      <w:pPr>
        <w:pStyle w:val="ListBullet"/>
      </w:pPr>
      <w:r>
        <w:t>Prompt/template/context/validation versions must be stored.</w:t>
      </w:r>
    </w:p>
    <w:p>
      <w:pPr>
        <w:pStyle w:val="Heading1"/>
      </w:pPr>
      <w:r>
        <w:t>4. LLM Retry and Fallback</w:t>
      </w:r>
    </w:p>
    <w:p>
      <w:pPr>
        <w:pStyle w:val="ListNumber"/>
      </w:pPr>
      <w:r>
        <w:t>Run LLM generation.</w:t>
      </w:r>
    </w:p>
    <w:p>
      <w:pPr>
        <w:pStyle w:val="ListNumber"/>
      </w:pPr>
      <w:r>
        <w:t>If failed, retry up to 3 times.</w:t>
      </w:r>
    </w:p>
    <w:p>
      <w:pPr>
        <w:pStyle w:val="ListNumber"/>
      </w:pPr>
      <w:r>
        <w:t>If retries fail, use fallback template without LLM.</w:t>
      </w:r>
    </w:p>
    <w:p>
      <w:pPr>
        <w:pStyle w:val="ListNumber"/>
      </w:pPr>
      <w:r>
        <w:t>If fallback succeeds, report is completed and no refund is issued.</w:t>
      </w:r>
    </w:p>
    <w:p>
      <w:pPr>
        <w:pStyle w:val="ListNumber"/>
      </w:pPr>
      <w:r>
        <w:t>If fallback fails, job fails and refund/credit release/quota restore occurs.</w:t>
      </w:r>
    </w:p>
    <w:p>
      <w:pPr>
        <w:pStyle w:val="Heading1"/>
      </w:pPr>
      <w:r>
        <w:t>5. LLM Output Validator</w:t>
      </w:r>
    </w:p>
    <w:p>
      <w:pPr>
        <w:pStyle w:val="ListBullet"/>
      </w:pPr>
      <w:r>
        <w:t>Required sections present.</w:t>
      </w:r>
    </w:p>
    <w:p>
      <w:pPr>
        <w:pStyle w:val="ListBullet"/>
      </w:pPr>
      <w:r>
        <w:t>Required disclaimers present.</w:t>
      </w:r>
    </w:p>
    <w:p>
      <w:pPr>
        <w:pStyle w:val="ListBullet"/>
      </w:pPr>
      <w:r>
        <w:t>No unsupported numbers invented.</w:t>
      </w:r>
    </w:p>
    <w:p>
      <w:pPr>
        <w:pStyle w:val="ListBullet"/>
      </w:pPr>
      <w:r>
        <w:t>Prediction figures match system-provided values.</w:t>
      </w:r>
    </w:p>
    <w:p>
      <w:pPr>
        <w:pStyle w:val="ListBullet"/>
      </w:pPr>
      <w:r>
        <w:t>No wrong suburb/profile context.</w:t>
      </w:r>
    </w:p>
    <w:p>
      <w:pPr>
        <w:pStyle w:val="ListBullet"/>
      </w:pPr>
      <w:r>
        <w:t>No guarantee of return.</w:t>
      </w:r>
    </w:p>
    <w:p>
      <w:pPr>
        <w:pStyle w:val="ListBullet"/>
      </w:pPr>
      <w:r>
        <w:t>Warnings match confidence/reportability state.</w:t>
      </w:r>
    </w:p>
    <w:p>
      <w:pPr>
        <w:pStyle w:val="ListBullet"/>
      </w:pPr>
      <w:r>
        <w:t>Language is English for MVP.</w:t>
      </w:r>
    </w:p>
    <w:p>
      <w:pPr>
        <w:pStyle w:val="Heading1"/>
      </w:pPr>
      <w:r>
        <w:t>6. Report Job State Machine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draft_request -&gt; entitlement_validated -&gt; credit_or_quota_held -&gt; queued -&gt; processing -&gt; data_context_built -&gt; llm_generation_started -&gt; llm_retry_1 -&gt; llm_retry_2 -&gt; llm_retry_3 -&gt; fallback_template_used -&gt; rendering_html -&gt; rendering_pdf -&gt; completed -&gt; failed -&gt; refund_started -&gt; credit_released -&gt; quota_restored</w:t>
      </w:r>
    </w:p>
    <w:p>
      <w:pPr>
        <w:pStyle w:val="Heading1"/>
      </w:pPr>
      <w:r>
        <w:t>7. Prediction Numbers</w:t>
      </w:r>
    </w:p>
    <w:p>
      <w:pPr>
        <w:pStyle w:val="ListBullet"/>
      </w:pPr>
      <w:r>
        <w:t>Paid PDF reports may show real prediction values.</w:t>
      </w:r>
    </w:p>
    <w:p>
      <w:pPr>
        <w:pStyle w:val="ListBullet"/>
      </w:pPr>
      <w:r>
        <w:t>All available indicators may be displayed unless disabled by Super Admin.</w:t>
      </w:r>
    </w:p>
    <w:p>
      <w:pPr>
        <w:pStyle w:val="ListBullet"/>
      </w:pPr>
      <w:r>
        <w:t>Low-confidence reports still display values but require strong warning.</w:t>
      </w:r>
    </w:p>
    <w:p>
      <w:pPr>
        <w:pStyle w:val="ListBullet"/>
      </w:pPr>
      <w:r>
        <w:t>Numbers must be accompanied by error/accuracy/confidence/methodology context.</w:t>
      </w:r>
    </w:p>
    <w:p>
      <w:pPr>
        <w:pStyle w:val="Heading1"/>
      </w:pPr>
      <w:r>
        <w:t>8. Report Formats and Sharing</w:t>
      </w:r>
    </w:p>
    <w:p>
      <w:pPr>
        <w:pStyle w:val="ListBullet"/>
      </w:pPr>
      <w:r>
        <w:t>HTML online report requires login.</w:t>
      </w:r>
    </w:p>
    <w:p>
      <w:pPr>
        <w:pStyle w:val="ListBullet"/>
      </w:pPr>
      <w:r>
        <w:t>Paid PDF can be downloaded and shared.</w:t>
      </w:r>
    </w:p>
    <w:p>
      <w:pPr>
        <w:pStyle w:val="ListBullet"/>
      </w:pPr>
      <w:r>
        <w:t>MVP does not include public share links.</w:t>
      </w:r>
    </w:p>
    <w:p>
      <w:pPr>
        <w:pStyle w:val="ListBullet"/>
      </w:pPr>
      <w:r>
        <w:t>Same generated report can have HTML, PDF, watermarked PDF, print PDF and mobile HTML without consuming another credit.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