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09 - Acceptance, Traceability and Final Open Issues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Acceptance Criteria by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7"/>
              </w:rPr>
              <w:t>Acceptance Criterion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Cannot generate report from unconfirmed free-text suburb/postcode; selection must come from database relationship table.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Free report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Does not call prediction data; no PDF; preview-only with watermark.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Paid report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Queue/job status, actual prediction numbers, confidence/errors/warnings, HTML/PDF, watermark.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3 retries, output validation, fallback template, versioned prompt/template/context.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Credit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Hold before job, capture after success, release after failure.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30 reports reset by billing cycle; failure restores quota.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Admin can refund, credit, extend subscription and view profile; all actions logged.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Upload templates, schema validation, change report, versioning, publish/rollback.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Refresh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Failure keeps old approved scoring table active and notifies Super Admin.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Webhook states and GST-inclusive invoice/receipt.</w:t>
            </w:r>
          </w:p>
        </w:tc>
      </w:tr>
    </w:tbl>
    <w:p/>
    <w:p>
      <w:pPr>
        <w:pStyle w:val="Heading1"/>
      </w:pPr>
      <w:r>
        <w:t>2. Traceability to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QA Range</w:t>
            </w:r>
          </w:p>
        </w:tc>
        <w:tc>
          <w:tcPr>
            <w:tcW w:type="dxa" w:w="8784"/>
            <w:vAlign w:val="top"/>
            <w:shd w:fill="D9EAF7"/>
          </w:tcPr>
          <w:p>
            <w:r/>
            <w:r>
              <w:rPr>
                <w:b/>
                <w:sz w:val="17"/>
              </w:rPr>
              <w:t>Covered by V1.2 Docs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Q1-Q4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Q5-Q10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Q11-Q15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Q16-Q20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Q21-Q25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Q26-Q31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Q32-Q37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Q38-Q43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Q44-Q48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Q49-Q60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Q61-Q78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Q79-Q97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Q98-Q111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Q112-Q143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Q144-Q147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Q148-Q171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YES - synchronised into master and relevant sub-documents.</w:t>
            </w:r>
          </w:p>
        </w:tc>
      </w:tr>
    </w:tbl>
    <w:p/>
    <w:p>
      <w:pPr>
        <w:pStyle w:val="Heading1"/>
      </w:pPr>
      <w:r>
        <w:t>3. Final Open Issues</w:t>
      </w:r>
    </w:p>
    <w:p>
      <w:pPr>
        <w:pStyle w:val="ListBullet"/>
      </w:pPr>
      <w:r>
        <w:t>Legal review remains recommended before public launch because the product allows strong recommendation and investment wording.</w:t>
      </w:r>
    </w:p>
    <w:p>
      <w:pPr>
        <w:pStyle w:val="ListBullet"/>
      </w:pPr>
      <w:r>
        <w:t>Exact final report visual design/template will be provided separately by owner or design team.</w:t>
      </w:r>
    </w:p>
    <w:p>
      <w:pPr>
        <w:pStyle w:val="ListBullet"/>
      </w:pPr>
      <w:r>
        <w:t>Exact LLM prompt text and fallback prose template will be provided/iterated later.</w:t>
      </w:r>
    </w:p>
    <w:p>
      <w:pPr>
        <w:pStyle w:val="ListBullet"/>
      </w:pPr>
      <w:r>
        <w:t>Actual production data availability, field names and model outputs must be validated during implementation.</w:t>
      </w:r>
    </w:p>
    <w:p>
      <w:pPr>
        <w:pStyle w:val="ListBullet"/>
      </w:pPr>
      <w:r>
        <w:t>Future multi-city pricing and data availability are intentionally not finalised in Sydney MVP.</w:t>
      </w:r>
    </w:p>
    <w:p>
      <w:pPr>
        <w:pStyle w:val="Heading1"/>
      </w:pPr>
      <w:r>
        <w:t>4. Final Readiness Rating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Business use case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User/profile entitlement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Geography/map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Reports/LLM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 with template iteration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Payments/credits/subscriptions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Admin/data operations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Model/API architecture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Developer-ready with integration validation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