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D4B5E">
      <w:pPr>
        <w:pStyle w:val="3"/>
        <w:bidi w:val="0"/>
        <w:jc w:val="center"/>
        <w:rPr>
          <w:rFonts w:hint="eastAsia" w:eastAsia="黑体"/>
          <w:lang w:val="en-US" w:eastAsia="zh-CN"/>
        </w:rPr>
      </w:pPr>
      <w:r>
        <w:rPr>
          <w:rFonts w:hint="default"/>
        </w:rPr>
        <w:t>5nm设计规则手册的核心技术规范</w:t>
      </w:r>
      <w:r>
        <w:rPr>
          <w:rFonts w:hint="eastAsia"/>
          <w:lang w:val="en-US" w:eastAsia="zh-CN"/>
        </w:rPr>
        <w:t>改动</w:t>
      </w:r>
      <w:bookmarkStart w:id="0" w:name="_GoBack"/>
      <w:bookmarkEnd w:id="0"/>
    </w:p>
    <w:p w14:paraId="32E319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1. 逻辑密度与性能提升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 w14:paraId="483633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逻辑密度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相较7nm工艺提升1.8倍，通过更紧凑的晶体管布局和EUV光刻技术实现。</w:t>
      </w:r>
    </w:p>
    <w:p w14:paraId="211E74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性能增益：基于Arm Cortex-A72核心测试，速度提升15%或功耗降低30%。</w:t>
      </w:r>
    </w:p>
    <w:p w14:paraId="1A37DE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SRAM优化：256Mb SRAM测试芯片良率达80%以上，512Mb SRAM峰值良率超90%。</w:t>
      </w:r>
    </w:p>
    <w:p w14:paraId="16F541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2. EUV技术应用</w:t>
      </w:r>
    </w:p>
    <w:p w14:paraId="505E53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全流程EUV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：首次完全采用极紫外光刻（EUV）技术，覆盖14层关键光刻层（如金属互联层），简化制程步骤。</w:t>
      </w:r>
    </w:p>
    <w:p w14:paraId="39CD78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制程简化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：相比7nm DUV（深紫外光刻），减少多重曝光需求，降低设计复杂度。</w:t>
      </w:r>
    </w:p>
    <w:p w14:paraId="55F23A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3. 设计规则与工具支持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 w14:paraId="716203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设计规则手册（DRM）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：明确5nm工艺的最小线宽、间距、通孔规则等物理限制，支持双扩散中断（DDB）技术以优化单元布局。</w:t>
      </w:r>
    </w:p>
    <w:p w14:paraId="11BEA1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制程设计套件（PDK）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：包含SPICE模型、参数化单元（Pcells）、电阻电容提取规则（RC Corner）等，支持EDA工具（如Cadence、Synopsys）的验证流程。</w:t>
      </w:r>
    </w:p>
    <w:p w14:paraId="030778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互连优化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：采用低电阻铜互连和增强型蚀刻停止层（ESL），降低信号延迟和功耗。</w:t>
      </w:r>
    </w:p>
    <w:p w14:paraId="0BBCC1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4. 多阈值电压支持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 w14:paraId="041874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电压灵活性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：提供7种阈值电压（Vt）选项，覆盖超过250mV范围，支持高性能（低Vt）与低功耗（高Vt）场景的灵活配置。</w:t>
      </w:r>
    </w:p>
    <w:p w14:paraId="489AE5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晶体管优化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：极低Vt晶体管速度较7nm提升25%，适用于高频计算模块。</w:t>
      </w:r>
    </w:p>
    <w:p w14:paraId="705D0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5. 生态系统协作</w:t>
      </w:r>
    </w:p>
    <w:p w14:paraId="02A38F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EDA工具验证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：与Cadence、Synopsys等合作，通过开放创新平台（OIP）完成EDA工具全流程验证，确保设计兼容性。</w:t>
      </w:r>
    </w:p>
    <w:p w14:paraId="6C1954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硅智财（IP）支持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：提供已验证的基础IP（如高速接口、存储器编译器），缩短客户设计周期。</w:t>
      </w:r>
    </w:p>
    <w:p w14:paraId="67738E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6. 设计挑战与解决方案</w:t>
      </w:r>
    </w:p>
    <w:p w14:paraId="291023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电迁移（EM）与IR压降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：通过增强型金属层和电源网络优化缓解高密度下的电迁移风险。</w:t>
      </w:r>
    </w:p>
    <w:p w14:paraId="77F6B3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leftChars="0" w:right="0" w:rightChars="0" w:hanging="420" w:firstLineChars="0"/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热管理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：引入高导热材料及3D封装设计规则，应对晶体管密度提升带来的散热问题。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39FF2"/>
    <w:multiLevelType w:val="singleLevel"/>
    <w:tmpl w:val="A0839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A2C54"/>
    <w:rsid w:val="282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2025-02-17T06:58:00Z</dcterms:created>
  <dc:creator>Aoifer</dc:creator>
  <cp:lastModifiedBy>Aoifer</cp:lastModifiedBy>
  <dcterms:modified xsi:type="dcterms:W3CDTF">2025-02-17T07:05:51Z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ADE2DEFA062D425AAC3A824AB8C026D2_11</vt:lpwstr>
  </property>
</Properties>
</file>