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17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Mtra. Judith Cuéllar Esparza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Enlace UTC REDINAGS/ Directora Académica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