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10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Mtro. Víctor Manuel Cuevas Herrada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Subdirector de Educación Superior 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