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工业嵌入式 Bootloader 开发第一周周报</w:t>
      </w:r>
    </w:p>
    <w:p>
      <w:pPr>
        <w:spacing w:after="60"/>
        <w:snapToGrid w:val="0"/>
      </w:pPr>
      <w:r>
        <w:rPr>
          <w:sz w:val="20"/>
        </w:rPr>
        <w:t>阶段：第一周　记录截至：2026 年 10 月 13 日</w:t>
      </w:r>
    </w:p>
    <w:p>
      <w:pPr>
        <w:spacing w:after="60"/>
        <w:snapToGrid w:val="0"/>
      </w:pPr>
      <w:r>
        <w:rPr>
          <w:sz w:val="20"/>
        </w:rPr>
        <w:t>项目：基于 QEMU 的 Cortex-M7 工业 Bootloader</w:t>
      </w:r>
    </w:p>
    <w:p>
      <w:pPr>
        <w:spacing w:after="60"/>
        <w:snapToGrid w:val="0"/>
      </w:pPr>
      <w:r>
        <w:rPr>
          <w:sz w:val="20"/>
        </w:rPr>
        <w:t>本阶段已有工程记录覆盖 10 月 12 日至 13 日</w:t>
      </w:r>
    </w:p>
    <w:p>
      <w:pPr>
        <w:pStyle w:val="Heading1"/>
        <w:snapToGrid w:val="0"/>
      </w:pPr>
      <w:r>
        <w:t>一 本周完成情况</w:t>
      </w:r>
    </w:p>
    <w:p>
      <w:pPr>
        <w:snapToGrid w:val="0"/>
      </w:pPr>
      <w:r>
        <w:t>本周完成了开发环境搭建、Cortex-M7 最小裸机程序运行和 GDB 调试，并整理了工业 Bootloader 需求与启动流程笔记。复核时，我把重点放在“测试能证明什么”：除了正常启动，又增加了启动前内存污染和启动后变量破坏实验。本次共 6 项检查通过，其中 4 项是独立的固件运行场景。</w:t>
      </w:r>
    </w:p>
    <w:p>
      <w:pPr>
        <w:snapToGrid w:val="0"/>
      </w:pPr>
      <w:r>
        <w:t>当前产物是可以继续开发的最小工程，已经验证复位入口、基本 C 数据初始化和错误输出路径。UART、固件升级与独立应用跳转还没有实现，保留在后续周次。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3859"/>
        <w:gridCol w:w="4133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第一周任务</w:t>
            </w:r>
          </w:p>
        </w:tc>
        <w:tc>
          <w:tcPr>
            <w:tcW w:type="dxa" w:w="3859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本周产出</w:t>
            </w:r>
          </w:p>
        </w:tc>
        <w:tc>
          <w:tcPr>
            <w:tcW w:type="dxa" w:w="413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完成边界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环境搭建和 QEMU 验证</w:t>
            </w:r>
          </w:p>
        </w:tc>
        <w:tc>
          <w:tcPr>
            <w:tcW w:type="dxa" w:w="3859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工具链、构建脚本、最小 ELF 和运行日志</w:t>
            </w:r>
          </w:p>
        </w:tc>
        <w:tc>
          <w:tcPr>
            <w:tcW w:type="dxa" w:w="413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已在 macOS arm64 主机实测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启动基础学习</w:t>
            </w:r>
          </w:p>
        </w:tc>
        <w:tc>
          <w:tcPr>
            <w:tcW w:type="dxa" w:w="3859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向量表、链接布局及 GDB 观察记录</w:t>
            </w:r>
          </w:p>
        </w:tc>
        <w:tc>
          <w:tcPr>
            <w:tcW w:type="dxa" w:w="413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能对应当前代码解释复位到 main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工业需求调研</w:t>
            </w:r>
          </w:p>
        </w:tc>
        <w:tc>
          <w:tcPr>
            <w:tcW w:type="dxa" w:w="3859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S7 启动分层、升级恢复需求和安全笔记</w:t>
            </w:r>
          </w:p>
        </w:tc>
        <w:tc>
          <w:tcPr>
            <w:tcW w:type="dxa" w:w="413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依据官方公开资料，未推测内部实现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工程组织</w:t>
            </w:r>
          </w:p>
        </w:tc>
        <w:tc>
          <w:tcPr>
            <w:tcW w:type="dxa" w:w="3859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src、cmake、scripts、docs、logs 和 Git 仓库</w:t>
            </w:r>
          </w:p>
        </w:tc>
        <w:tc>
          <w:tcPr>
            <w:tcW w:type="dxa" w:w="413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仓库已初始化，尚无提交历史</w:t>
            </w:r>
          </w:p>
        </w:tc>
      </w:tr>
    </w:tbl>
    <w:p>
      <w:pPr>
        <w:spacing w:after="40" w:before="0" w:line="240" w:lineRule="auto"/>
        <w:snapToGrid w:val="0"/>
      </w:pPr>
      <w:r>
        <w:rPr>
          <w:sz w:val="4"/>
        </w:rPr>
      </w:r>
    </w:p>
    <w:p>
      <w:pPr>
        <w:snapToGrid w:val="0"/>
      </w:pPr>
      <w:r>
        <w:t>安装版本为 QEMU 11.1.2、Arm GCC 16.2.0、GDB 18.1、CMake 4.4.4、GNU Make 4.4.1，复用原有 Git 2.54.0。环境搭建中遇到下载中断，最终通过断点续传和官方 SHA-256 校验完成安装。对我来说，安装结束的判断依据是能构建、运行和调试同一份固件，而不只是命令能打印版本。</w:t>
      </w:r>
    </w:p>
    <w:p>
      <w:pPr>
        <w:pStyle w:val="Heading1"/>
        <w:snapToGrid w:val="0"/>
      </w:pPr>
      <w:r>
        <w:t>二 我对当前架构的理解</w:t>
      </w:r>
    </w:p>
    <w:p>
      <w:pPr>
        <w:snapToGrid w:val="0"/>
      </w:pPr>
      <w:r>
        <w:t>我把当前工程分成宿主机构建、目标机执行和调试观察三部分。这样能区分“生成了程序”“目标机执行了程序”和“我能解释执行过程”，避免只看到输出就认为启动链路已经理解完整。</w:t>
      </w:r>
    </w:p>
    <w:p>
      <w:pPr>
        <w:keepNext/>
        <w:spacing w:after="60" w:line="240" w:lineRule="auto"/>
        <w:snapToGrid w:val="0"/>
      </w:pPr>
      <w:r>
        <w:rPr>
          <w:rFonts w:ascii="Consolas" w:hAnsi="Consolas" w:eastAsia="Heiti SC"/>
          <w:sz w:val="21"/>
        </w:rPr>
        <w:t>构建路径  CMake → Make → Arm GCC 和链接器 → ELF</w:t>
      </w:r>
    </w:p>
    <w:p>
      <w:pPr>
        <w:keepNext/>
        <w:spacing w:after="60" w:line="240" w:lineRule="auto"/>
        <w:snapToGrid w:val="0"/>
      </w:pPr>
      <w:r>
        <w:rPr>
          <w:rFonts w:ascii="Consolas" w:hAnsi="Consolas" w:eastAsia="Heiti SC"/>
          <w:sz w:val="21"/>
        </w:rPr>
        <w:t>运行路径  QEMU → 向量表 → Reset_Handler → main → 输出</w:t>
      </w:r>
    </w:p>
    <w:p>
      <w:pPr>
        <w:keepNext w:val="0"/>
        <w:spacing w:after="60" w:line="240" w:lineRule="auto"/>
        <w:snapToGrid w:val="0"/>
      </w:pPr>
      <w:r>
        <w:rPr>
          <w:rFonts w:ascii="Consolas" w:hAnsi="Consolas" w:eastAsia="Heiti SC"/>
          <w:sz w:val="21"/>
        </w:rPr>
        <w:t>观察路径  GDB → QEMU gdbstub → 寄存器和内存</w:t>
      </w:r>
    </w:p>
    <w:p>
      <w:pPr>
        <w:snapToGrid w:val="0"/>
      </w:pPr>
      <w:r>
        <w:t xml:space="preserve">启动汇编负责复制 </w:t>
      </w:r>
      <w:r>
        <w:rPr>
          <w:rFonts w:ascii="Consolas" w:hAnsi="Consolas" w:eastAsia="Songti SC"/>
          <w:sz w:val="20"/>
        </w:rPr>
        <w:t>.data</w:t>
      </w:r>
      <w:r>
        <w:t xml:space="preserve">、清零 </w:t>
      </w:r>
      <w:r>
        <w:rPr>
          <w:rFonts w:ascii="Consolas" w:hAnsi="Consolas" w:eastAsia="Songti SC"/>
          <w:sz w:val="20"/>
        </w:rPr>
        <w:t>.bss</w:t>
      </w:r>
      <w:r>
        <w:t xml:space="preserve"> 并调用 C 入口；链接脚本决定这些内容放在哪里；C 示例检查 CPUID 和变量值；验证脚本负责建立可控初始状态、读取结果并判断退出码。GDB 只用于观察和注入测试条件，不是固件启动步骤。</w:t>
      </w:r>
    </w:p>
    <w:p>
      <w:pPr>
        <w:snapToGrid w:val="0"/>
      </w:pPr>
      <w:r>
        <w:t xml:space="preserve">本次复位观察得到 MSP 为 </w:t>
      </w:r>
      <w:r>
        <w:rPr>
          <w:rFonts w:ascii="Consolas" w:hAnsi="Consolas" w:eastAsia="Songti SC"/>
          <w:sz w:val="20"/>
        </w:rPr>
        <w:t>0x20400000</w:t>
      </w:r>
      <w:r>
        <w:t xml:space="preserve">、PC 为 </w:t>
      </w:r>
      <w:r>
        <w:rPr>
          <w:rFonts w:ascii="Consolas" w:hAnsi="Consolas" w:eastAsia="Songti SC"/>
          <w:sz w:val="20"/>
        </w:rPr>
        <w:t>0xc4</w:t>
      </w:r>
      <w:r>
        <w:t xml:space="preserve">，向量表中的复位入口为 </w:t>
      </w:r>
      <w:r>
        <w:rPr>
          <w:rFonts w:ascii="Consolas" w:hAnsi="Consolas" w:eastAsia="Songti SC"/>
          <w:sz w:val="20"/>
        </w:rPr>
        <w:t>0xc5</w:t>
      </w:r>
      <w:r>
        <w:t>。入口最低位表示 Thumb 状态，因此与函数指令地址差 1 是正常的。我也将初始栈指针与函数运行后的 SP 分开记录，避免把两个时刻的值误判为不一致。</w:t>
      </w:r>
    </w:p>
    <w:p>
      <w:pPr>
        <w:snapToGrid w:val="0"/>
      </w:pPr>
      <w:r>
        <w:t>我原先整理的内存表还需要一个边界说明：工程中的 CODE 区实际对应 QEMU 的 SRAM，不能因为链接脚本把它命名为 CODE，就认为已经具备 Flash 的擦写和掉电保存能力。这个区别会影响后续断电恢复测试的有效性。</w:t>
      </w:r>
    </w:p>
    <w:p>
      <w:pPr>
        <w:pStyle w:val="Heading1"/>
        <w:snapToGrid w:val="0"/>
      </w:pPr>
      <w:r>
        <w:t>三 测试如何补足正常启动的证据</w:t>
      </w:r>
    </w:p>
    <w:p>
      <w:pPr>
        <w:pStyle w:val="Heading2"/>
        <w:snapToGrid w:val="0"/>
      </w:pPr>
      <w:r>
        <w:t>为什么要污染内存</w:t>
      </w:r>
    </w:p>
    <w:p>
      <w:pPr>
        <w:snapToGrid w:val="0"/>
      </w:pPr>
      <w:r>
        <w:t xml:space="preserve">原来的示例会检查 </w:t>
      </w:r>
      <w:r>
        <w:rPr>
          <w:rFonts w:ascii="Consolas" w:hAnsi="Consolas" w:eastAsia="Songti SC"/>
          <w:sz w:val="20"/>
        </w:rPr>
        <w:t>.bss</w:t>
      </w:r>
      <w:r>
        <w:t xml:space="preserve"> 变量是否为零，但模拟器可能恰好提供了零初值。这样即使没有正确清零，也可能得到相同观察结果。我因此把验证条件反过来设置：先明确写入错误值，再观察启动代码是否把它们恢复。</w:t>
      </w:r>
    </w:p>
    <w:p>
      <w:pPr>
        <w:snapToGrid w:val="0"/>
      </w:pPr>
      <w:r>
        <w:t xml:space="preserve">测试在 </w:t>
      </w:r>
      <w:r>
        <w:rPr>
          <w:rFonts w:ascii="Consolas" w:hAnsi="Consolas" w:eastAsia="Songti SC"/>
          <w:sz w:val="20"/>
        </w:rPr>
        <w:t>Reset_Handler</w:t>
      </w:r>
      <w:r>
        <w:t xml:space="preserve"> 尚未执行时暂停，将 </w:t>
      </w:r>
      <w:r>
        <w:rPr>
          <w:rFonts w:ascii="Consolas" w:hAnsi="Consolas" w:eastAsia="Songti SC"/>
          <w:sz w:val="20"/>
        </w:rPr>
        <w:t>.data</w:t>
      </w:r>
      <w:r>
        <w:t xml:space="preserve"> 运行区的 4 字节写成 </w:t>
      </w:r>
      <w:r>
        <w:rPr>
          <w:rFonts w:ascii="Consolas" w:hAnsi="Consolas" w:eastAsia="Songti SC"/>
          <w:sz w:val="20"/>
        </w:rPr>
        <w:t>0xCC</w:t>
      </w:r>
      <w:r>
        <w:t xml:space="preserve">，将 </w:t>
      </w:r>
      <w:r>
        <w:rPr>
          <w:rFonts w:ascii="Consolas" w:hAnsi="Consolas" w:eastAsia="Songti SC"/>
          <w:sz w:val="20"/>
        </w:rPr>
        <w:t>.bss</w:t>
      </w:r>
      <w:r>
        <w:t xml:space="preserve"> 的 8 字节全部写成 </w:t>
      </w:r>
      <w:r>
        <w:rPr>
          <w:rFonts w:ascii="Consolas" w:hAnsi="Consolas" w:eastAsia="Songti SC"/>
          <w:sz w:val="20"/>
        </w:rPr>
        <w:t>0xA5</w:t>
      </w:r>
      <w:r>
        <w:t xml:space="preserve">，并在 </w:t>
      </w:r>
      <w:r>
        <w:rPr>
          <w:rFonts w:ascii="Consolas" w:hAnsi="Consolas" w:eastAsia="Songti SC"/>
          <w:sz w:val="20"/>
        </w:rPr>
        <w:t>.bss</w:t>
      </w:r>
      <w:r>
        <w:t xml:space="preserve"> 末尾后放置 4 字节哨兵。到 </w:t>
      </w:r>
      <w:r>
        <w:rPr>
          <w:rFonts w:ascii="Consolas" w:hAnsi="Consolas" w:eastAsia="Songti SC"/>
          <w:sz w:val="20"/>
        </w:rPr>
        <w:t>main</w:t>
      </w:r>
      <w:r>
        <w:t xml:space="preserve"> 第一条指令时再次检查，防止 C 程序后续赋值掩盖初始化问题。</w:t>
      </w:r>
    </w:p>
    <w:p>
      <w:pPr>
        <w:snapToGrid w:val="0"/>
      </w:pPr>
      <w:r>
        <w:t>实际结果：</w:t>
      </w:r>
      <w:r>
        <w:rPr>
          <w:rFonts w:ascii="Consolas" w:hAnsi="Consolas" w:eastAsia="Songti SC"/>
          <w:sz w:val="20"/>
        </w:rPr>
        <w:t>.data</w:t>
      </w:r>
      <w:r>
        <w:t xml:space="preserve"> 恢复为 </w:t>
      </w:r>
      <w:r>
        <w:rPr>
          <w:rFonts w:ascii="Consolas" w:hAnsi="Consolas" w:eastAsia="Songti SC"/>
          <w:sz w:val="20"/>
        </w:rPr>
        <w:t>0x12345678</w:t>
      </w:r>
      <w:r>
        <w:t>，</w:t>
      </w:r>
      <w:r>
        <w:rPr>
          <w:rFonts w:ascii="Consolas" w:hAnsi="Consolas" w:eastAsia="Songti SC"/>
          <w:sz w:val="20"/>
        </w:rPr>
        <w:t>.bss</w:t>
      </w:r>
      <w:r>
        <w:t xml:space="preserve"> 全部清零，哨兵仍为 </w:t>
      </w:r>
      <w:r>
        <w:rPr>
          <w:rFonts w:ascii="Consolas" w:hAnsi="Consolas" w:eastAsia="Songti SC"/>
          <w:sz w:val="20"/>
        </w:rPr>
        <w:t>0x12345678</w:t>
      </w:r>
      <w:r>
        <w:t>。这比单次正常启动多证明了一个关键事实：当前布局中的复制与清零代码确实执行了。</w:t>
      </w:r>
    </w:p>
    <w:p>
      <w:pPr>
        <w:pStyle w:val="Heading2"/>
        <w:snapToGrid w:val="0"/>
      </w:pPr>
      <w:r>
        <w:t>检查结果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3"/>
        <w:gridCol w:w="4824"/>
        <w:gridCol w:w="3413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检查项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操作或条件</w:t>
            </w:r>
          </w:p>
        </w:tc>
        <w:tc>
          <w:tcPr>
            <w:tcW w:type="dxa" w:w="341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实际结果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工具版本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检查六个工具和最低版本</w:t>
            </w:r>
          </w:p>
        </w:tc>
        <w:tc>
          <w:tcPr>
            <w:tcW w:type="dxa" w:w="341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全新构建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新目录编译，运行和调试同一 ELF</w:t>
            </w:r>
          </w:p>
        </w:tc>
        <w:tc>
          <w:tcPr>
            <w:tcW w:type="dxa" w:w="341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text 368，data 4，bss 8 字节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正常启动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不注入故障</w:t>
            </w:r>
          </w:p>
        </w:tc>
        <w:tc>
          <w:tcPr>
            <w:tcW w:type="dxa" w:w="341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PASS，退出码 0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污染后启动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污染数据区并检查末尾哨兵</w:t>
            </w:r>
          </w:p>
        </w:tc>
        <w:tc>
          <w:tcPr>
            <w:tcW w:type="dxa" w:w="341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恢复正确，退出码 0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破坏初始化变量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main 入口改 initialized_data</w:t>
            </w:r>
          </w:p>
        </w:tc>
        <w:tc>
          <w:tcPr>
            <w:tcW w:type="dxa" w:w="341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FAIL，结果 0xdead，退出码 1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破坏零变量</w:t>
            </w:r>
          </w:p>
        </w:tc>
        <w:tc>
          <w:tcPr>
            <w:tcW w:type="dxa" w:w="482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独立实例中改 zero_data</w:t>
            </w:r>
          </w:p>
        </w:tc>
        <w:tc>
          <w:tcPr>
            <w:tcW w:type="dxa" w:w="341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FAIL，结果 0xdead，退出码 1</w:t>
            </w:r>
          </w:p>
        </w:tc>
      </w:tr>
    </w:tbl>
    <w:p>
      <w:pPr>
        <w:spacing w:after="40" w:before="0" w:line="240" w:lineRule="auto"/>
        <w:snapToGrid w:val="0"/>
      </w:pPr>
      <w:r>
        <w:rPr>
          <w:sz w:val="4"/>
        </w:rPr>
      </w:r>
    </w:p>
    <w:p>
      <w:pPr>
        <w:snapToGrid w:val="0"/>
      </w:pPr>
      <w:r>
        <w:t xml:space="preserve">两个负向用例都把目标变量改为 </w:t>
      </w:r>
      <w:r>
        <w:rPr>
          <w:rFonts w:ascii="Consolas" w:hAnsi="Consolas" w:eastAsia="Songti SC"/>
          <w:sz w:val="20"/>
        </w:rPr>
        <w:t>0xDEADBEEF</w:t>
      </w:r>
      <w:r>
        <w:t>。此时固件退出 1 才符合预期，整个测试应判为通过。它们验证了示例能识别错误并走到失败路径，不代表已经具备 Bootloader 恢复能力。</w:t>
      </w:r>
    </w:p>
    <w:p>
      <w:pPr>
        <w:snapToGrid w:val="0"/>
      </w:pPr>
      <w:r>
        <w:t xml:space="preserve">本次还观察到单步 PC 从 </w:t>
      </w:r>
      <w:r>
        <w:rPr>
          <w:rFonts w:ascii="Consolas" w:hAnsi="Consolas" w:eastAsia="Songti SC"/>
          <w:sz w:val="20"/>
        </w:rPr>
        <w:t>0x44</w:t>
      </w:r>
      <w:r>
        <w:t xml:space="preserve"> 前进到 </w:t>
      </w:r>
      <w:r>
        <w:rPr>
          <w:rFonts w:ascii="Consolas" w:hAnsi="Consolas" w:eastAsia="Songti SC"/>
          <w:sz w:val="20"/>
        </w:rPr>
        <w:t>0x46</w:t>
      </w:r>
      <w:r>
        <w:t>。日志保存了 GDB 命令、注入前后值、退出码，以及源码和 ELF 哈希。6 项检查全部通过，只代表这些明确条件通过；没有把它写成全系统或全部代码覆盖率 100%。</w:t>
      </w:r>
    </w:p>
    <w:p>
      <w:pPr>
        <w:snapToGrid w:val="0"/>
      </w:pPr>
      <w:r>
        <w:t xml:space="preserve">实验仍有限制：当前 </w:t>
      </w:r>
      <w:r>
        <w:rPr>
          <w:rFonts w:ascii="Consolas" w:hAnsi="Consolas" w:eastAsia="Songti SC"/>
          <w:sz w:val="20"/>
        </w:rPr>
        <w:t>.data</w:t>
      </w:r>
      <w:r>
        <w:t xml:space="preserve"> 只有 4 字节、</w:t>
      </w:r>
      <w:r>
        <w:rPr>
          <w:rFonts w:ascii="Consolas" w:hAnsi="Consolas" w:eastAsia="Songti SC"/>
          <w:sz w:val="20"/>
        </w:rPr>
        <w:t>.bss</w:t>
      </w:r>
      <w:r>
        <w:t xml:space="preserve"> 只有 8 字节；哨兵只覆盖一个末尾位置。不同段长度、空段和完整异常表还需要后续测试。</w:t>
      </w:r>
    </w:p>
    <w:p>
      <w:pPr>
        <w:pStyle w:val="Heading1"/>
        <w:snapToGrid w:val="0"/>
      </w:pPr>
      <w:r>
        <w:t>四 工业需求调研带来的设计思路</w:t>
      </w:r>
    </w:p>
    <w:p>
      <w:pPr>
        <w:pStyle w:val="Heading2"/>
        <w:snapToGrid w:val="0"/>
      </w:pPr>
      <w:r>
        <w:t>先区分不同层次的启动</w:t>
      </w:r>
    </w:p>
    <w:p>
      <w:pPr>
        <w:snapToGrid w:val="0"/>
      </w:pPr>
      <w:r>
        <w:t>阅读 Siemens 资料后，我将签名固件更新、Secure Boot 和 Startup OB 分开：更新文件在安装前验证；Secure Boot 在启动前验证待执行固件；Startup OB 则在 PLC 操作系统之上处理用户程序启动。这使我认识到，接收时验证通过还不够，启动时也需要重新判断即将执行的内容是否可信。</w:t>
      </w:r>
      <w:hyperlink r:id="rId10">
        <w:r>
          <w:rPr>
            <w:rFonts w:ascii="Calibri" w:eastAsia="Songti SC"/>
            <w:color w:val="1F4E79"/>
          </w:rPr>
          <w:t>签名固件更新</w:t>
        </w:r>
      </w:hyperlink>
      <w:r>
        <w:t>、</w:t>
      </w:r>
      <w:hyperlink r:id="rId11">
        <w:r>
          <w:rPr>
            <w:rFonts w:ascii="Calibri" w:eastAsia="Songti SC"/>
            <w:color w:val="1F4E79"/>
          </w:rPr>
          <w:t>Secure Boot</w:t>
        </w:r>
      </w:hyperlink>
      <w:r>
        <w:t>、</w:t>
      </w:r>
      <w:hyperlink r:id="rId12">
        <w:r>
          <w:rPr>
            <w:rFonts w:ascii="Calibri" w:eastAsia="Songti SC"/>
            <w:color w:val="1F4E79"/>
          </w:rPr>
          <w:t>Startup OBs</w:t>
        </w:r>
      </w:hyperlink>
    </w:p>
    <w:p>
      <w:pPr>
        <w:snapToGrid w:val="0"/>
      </w:pPr>
      <w:r>
        <w:t>S7 的装载存储器资料讨论 PLC 程序代码、数据块和配置，不能直接推出 CPU 固件分区。本项目只借鉴其存储职责划分，不把自己的 Cortex-M7 模型称为 S7 硬件仿真。Secure Boot 支持范围也需要按具体型号核实。</w:t>
      </w:r>
    </w:p>
    <w:p>
      <w:pPr>
        <w:pStyle w:val="Heading2"/>
        <w:snapToGrid w:val="0"/>
      </w:pPr>
      <w:r>
        <w:t>后续模块拆分草案</w:t>
      </w:r>
    </w:p>
    <w:p>
      <w:pPr>
        <w:snapToGrid w:val="0"/>
      </w:pPr>
      <w:r>
        <w:t>我倾向于先按故障责任拆分模块，让每个模块的输入、输出和失败行为能够单独检查。下表是后续方案，目前尚未实现。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3600"/>
        <w:gridCol w:w="432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应承担的责任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我准备验证的问题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板级启动与应用交接</w:t>
            </w:r>
          </w:p>
        </w:tc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建立运行条件，交接栈、入口和中断状态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错误入口是否会被拒绝，应用是否继承了不该保留的状态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镜像验证</w:t>
            </w:r>
          </w:p>
        </w:tc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检查长度、完整性和签名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截断、超长或被篡改的镜像是否会被接受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存储抽象与升级记录</w:t>
            </w:r>
          </w:p>
        </w:tc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约束写入，保存可判定的升级状态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写入中断后能否识别哪条状态记录有效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传输与启动决策</w:t>
            </w:r>
          </w:p>
        </w:tc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接收候选数据，选择已确认或待试运行镜像</w:t>
            </w:r>
          </w:p>
        </w:tc>
        <w:tc>
          <w:tcPr>
            <w:tcW w:type="dxa" w:w="432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接收完成是否被误当作成功启动，失败时是否保留恢复入口</w:t>
            </w:r>
          </w:p>
        </w:tc>
      </w:tr>
    </w:tbl>
    <w:p>
      <w:pPr>
        <w:spacing w:after="40" w:before="0" w:line="240" w:lineRule="auto"/>
        <w:snapToGrid w:val="0"/>
      </w:pPr>
      <w:r>
        <w:rPr>
          <w:sz w:val="4"/>
        </w:rPr>
      </w:r>
    </w:p>
    <w:p>
      <w:pPr>
        <w:snapToGrid w:val="0"/>
      </w:pPr>
      <w:r>
        <w:t>我认为双镜像设计最需要想清楚的是“何时承认新版本有效”。把文件写完就切换过早，因为它可能验证失败，也可能能通过校验但无法正常启动。因此，初步方案是保留已确认镜像，候选镜像经过验证后试运行，由应用确认成功，再提交状态。后续要分别测试写入中断和试运行失败，不能只测成功升级一次。</w:t>
      </w:r>
    </w:p>
    <w:p>
      <w:pPr>
        <w:snapToGrid w:val="0"/>
      </w:pPr>
      <w:r>
        <w:t>IEC 62443 的学习目前停留在公开概览和开发思路。我能落实到当前工作的，是让需求、实现、测试证据和限制一一对应；不会把采用 SHA-256 或 RSA 写成已经满足标准或通过认证。</w:t>
      </w:r>
      <w:hyperlink r:id="rId13">
        <w:r>
          <w:rPr>
            <w:rFonts w:ascii="Calibri" w:eastAsia="Songti SC"/>
            <w:color w:val="1F4E79"/>
          </w:rPr>
          <w:t>IEC 标准概览</w:t>
        </w:r>
      </w:hyperlink>
    </w:p>
    <w:p>
      <w:pPr>
        <w:pStyle w:val="Heading1"/>
        <w:snapToGrid w:val="0"/>
      </w:pPr>
      <w:r>
        <w:t>五 本次查漏结果与下周安排</w:t>
      </w:r>
    </w:p>
    <w:p>
      <w:pPr>
        <w:snapToGrid w:val="0"/>
      </w:pPr>
      <w:r>
        <w:t>这次复核补齐了初始化污染实验、两个失败路径用例、S7 官方正文核对和架构说明。另一个发现是 Git 目前只有初始化状态，作者姓名与邮箱尚未配置，因此还没有可回溯的首次提交。工程源码与本次测试哈希已保存，但不能代替提交历史。</w:t>
      </w:r>
    </w:p>
    <w:p>
      <w:pPr>
        <w:snapToGrid w:val="0"/>
      </w:pPr>
      <w:r>
        <w:t>下一周我准备先把启动代码和异常入口整理清楚，再开发模拟 UART。验收时关闭 semihosting，确认日志仍能经 UART 输出，避免把宿主机服务误认为外设驱动已经工作。之后再根据当前 QEMU 板型补充能够实际验证的初始化，不直接照搬其他 MCU 的时钟配置。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6"/>
        <w:gridCol w:w="7344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下周动作</w:t>
            </w:r>
          </w:p>
        </w:tc>
        <w:tc>
          <w:tcPr>
            <w:tcW w:type="dxa" w:w="73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预期交付或验收条件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整理启动与异常入口</w:t>
            </w:r>
          </w:p>
        </w:tc>
        <w:tc>
          <w:tcPr>
            <w:tcW w:type="dxa" w:w="73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对有效异常和保留槽位分别处理，能用 GDB 定位异常停机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完善 C 初始化验证</w:t>
            </w:r>
          </w:p>
        </w:tc>
        <w:tc>
          <w:tcPr>
            <w:tcW w:type="dxa" w:w="73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增加不同段长度等场景，沿用独立日志与明确断言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开发 UART 输出</w:t>
            </w:r>
          </w:p>
        </w:tc>
        <w:tc>
          <w:tcPr>
            <w:tcW w:type="dxa" w:w="73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关闭 semihosting 后仍输出启动阶段与检查结果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明确后续存储方案</w:t>
            </w:r>
          </w:p>
        </w:tc>
        <w:tc>
          <w:tcPr>
            <w:tcW w:type="dxa" w:w="7344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说明如何保存模拟非易失状态，再安排断电恢复实验</w:t>
            </w:r>
          </w:p>
        </w:tc>
      </w:tr>
    </w:tbl>
    <w:p>
      <w:pPr>
        <w:spacing w:after="40" w:before="0" w:line="240" w:lineRule="auto"/>
        <w:snapToGrid w:val="0"/>
      </w:pPr>
      <w:r>
        <w:rPr>
          <w:sz w:val="4"/>
        </w:rPr>
      </w:r>
    </w:p>
    <w:p>
      <w:pPr>
        <w:snapToGrid w:val="0"/>
      </w:pPr>
      <w:r>
        <w:t>需要与导师确认的事项是具体参考哪款 S7 CPU，以及项目的安全目标是功能演示还是需要进一步做标准条款映射。Flash 持久化方案也需要先定下来，否则“重启后恢复”的实验可能测不到真正的中断状态。</w:t>
      </w:r>
    </w:p>
    <w:p>
      <w:pPr>
        <w:pStyle w:val="Heading1"/>
        <w:snapToGrid w:val="0"/>
      </w:pPr>
      <w:r>
        <w:t>六 交付与复现入口</w:t>
      </w:r>
    </w:p>
    <w:p>
      <w:pPr>
        <w:snapToGrid w:val="0"/>
      </w:pPr>
      <w:r>
        <w:t xml:space="preserve">工程根目录为 </w:t>
      </w:r>
      <w:r>
        <w:rPr>
          <w:rFonts w:ascii="Consolas" w:hAnsi="Consolas" w:eastAsia="Songti SC"/>
          <w:sz w:val="20"/>
        </w:rPr>
        <w:t>/Users/charton/Projects/西门子实习/codes</w:t>
      </w:r>
      <w:r>
        <w:t xml:space="preserve">。第一周笔记保存在 </w:t>
      </w:r>
      <w:r>
        <w:rPr>
          <w:rFonts w:ascii="Consolas" w:hAnsi="Consolas" w:eastAsia="Songti SC"/>
          <w:sz w:val="20"/>
        </w:rPr>
        <w:t>docs/week1-learning-notes.md</w:t>
      </w:r>
      <w:r>
        <w:t xml:space="preserve">，逐项核查在 </w:t>
      </w:r>
      <w:r>
        <w:rPr>
          <w:rFonts w:ascii="Consolas" w:hAnsi="Consolas" w:eastAsia="Songti SC"/>
          <w:sz w:val="20"/>
        </w:rPr>
        <w:t>docs/week1-audit.md</w:t>
      </w:r>
      <w:r>
        <w:t xml:space="preserve">，首次环境报告在 </w:t>
      </w:r>
      <w:r>
        <w:rPr>
          <w:rFonts w:ascii="Consolas" w:hAnsi="Consolas" w:eastAsia="Songti SC"/>
          <w:sz w:val="20"/>
        </w:rPr>
        <w:t>docs/validation-report.md</w:t>
      </w:r>
      <w:r>
        <w:t>。</w:t>
      </w:r>
    </w:p>
    <w:p>
      <w:pPr>
        <w:snapToGrid w:val="0"/>
      </w:pPr>
      <w:r>
        <w:t xml:space="preserve">进入工程目录后运行 </w:t>
      </w:r>
      <w:r>
        <w:rPr>
          <w:rFonts w:ascii="Consolas" w:hAnsi="Consolas" w:eastAsia="Songti SC"/>
          <w:sz w:val="20"/>
        </w:rPr>
        <w:t>source scripts/env.sh</w:t>
      </w:r>
      <w:r>
        <w:t xml:space="preserve"> 和 </w:t>
      </w:r>
      <w:r>
        <w:rPr>
          <w:rFonts w:ascii="Consolas" w:hAnsi="Consolas" w:eastAsia="Songti SC"/>
          <w:sz w:val="20"/>
        </w:rPr>
        <w:t>python3 scripts/verify-startup.py</w:t>
      </w:r>
      <w:r>
        <w:t xml:space="preserve">，可重做本次增强验证。报告引用的是 </w:t>
      </w:r>
      <w:r>
        <w:rPr>
          <w:rFonts w:ascii="Consolas" w:hAnsi="Consolas" w:eastAsia="Songti SC"/>
          <w:sz w:val="20"/>
        </w:rPr>
        <w:t>logs/week1-review-20261013-125900/summary.json</w:t>
      </w:r>
      <w:r>
        <w:t xml:space="preserve"> 及同目录原始日志；新一次运行会另建证据目录，不覆盖本次记录。</w:t>
      </w:r>
    </w:p>
    <w:sectPr w:rsidR="00FC693F" w:rsidRPr="0006063C" w:rsidSect="00034616">
      <w:footerReference w:type="default" r:id="rId9"/>
      <w:pgSz w:w="12240" w:h="15840"/>
      <w:pgMar w:top="1037" w:right="1080" w:bottom="1008" w:left="1080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20"/>
    </w:pPr>
    <w:rPr>
      <w:rFonts w:ascii="Calibri" w:hAnsi="Calibri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40"/>
      <w:outlineLvl w:val="0"/>
    </w:pPr>
    <w:rPr>
      <w:rFonts w:ascii="Calibri" w:hAnsi="Calibri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="Calibri" w:hAnsi="Calibri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="Calibri" w:hAnsi="Calibri" w:eastAsia="Hei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40" w:lineRule="auto"/>
      <w:contextualSpacing/>
    </w:pPr>
    <w:rPr>
      <w:rFonts w:ascii="Calibri" w:hAnsi="Calibri" w:eastAsia="Hei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Calibri" w:hAnsi="Calibri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tia.siemens.cloud/r/simatic_s7_1500_et_200mp_manual_collection_enus_20/basic-information/automation-system/industrial-cybersecurity/secure-operation-of-cpus/signed-firmware-update-for-cpus" TargetMode="External"/><Relationship Id="rId11" Type="http://schemas.openxmlformats.org/officeDocument/2006/relationships/hyperlink" Target="https://docs.tia.siemens.cloud/r/simatic_s7_1500_et_200mp_manual_collection_enus_20/basic-information/automation-system/industrial-cybersecurity/secure-operation-of-cpus/secure-boot-for-cpus" TargetMode="External"/><Relationship Id="rId12" Type="http://schemas.openxmlformats.org/officeDocument/2006/relationships/hyperlink" Target="https://docs.tia.siemens.cloud/r/en-us/v20/functional-description-of-s7-1500-cpus-s7-1500/organization-blocks-s7-1500/description-of-all-types-of-organization-blocks-s7-1500/startup-obs-s7-1500" TargetMode="External"/><Relationship Id="rId13" Type="http://schemas.openxmlformats.org/officeDocument/2006/relationships/hyperlink" Target="https://syc-se.iec.ch/deliveries/cybersecurity-guidelines/security-standards-and-best-practices/iec-6244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工业嵌入式 Bootloader 开发第一周周报</dc:title>
  <dc:subject>第一周任务核查 架构理解与启动测试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