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工业嵌入式 Bootloader 开发第一周周报</w:t>
      </w:r>
    </w:p>
    <w:p>
      <w:pPr>
        <w:spacing w:after="60"/>
        <w:snapToGrid w:val="0"/>
      </w:pPr>
      <w:r>
        <w:rPr>
          <w:sz w:val="20"/>
        </w:rPr>
        <w:t>项目：基于 QEMU 的 Cortex-M7 工业 Bootloader</w:t>
      </w:r>
    </w:p>
    <w:p>
      <w:pPr>
        <w:snapToGrid w:val="0"/>
      </w:pPr>
      <w:r>
        <w:t>阶段记录：2026 年 10 月 12 日至 13 日　更新日期：2026 年 10 月 16 日</w:t>
      </w:r>
    </w:p>
    <w:p>
      <w:pPr>
        <w:snapToGrid w:val="0"/>
      </w:pPr>
      <w:r>
        <w:t>第一周已完成开发环境搭建、最小裸机程序运行、GDB 调试及启动流程与工业需求资料整理，形成了可继续开发的工程基线。本次更新补充 Git 提交和后续 UART 进度，便于带教了解当前状态；测试结果引用已有验证记录。</w:t>
      </w:r>
    </w:p>
    <w:p>
      <w:pPr>
        <w:pStyle w:val="Heading1"/>
        <w:snapToGrid w:val="0"/>
      </w:pPr>
      <w:r>
        <w:t>一 第一周任务完成情况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688"/>
        <w:gridCol w:w="273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8EEF4"/>
          </w:tcPr>
          <w:p>
            <w:pPr>
              <w:spacing w:after="0" w:line="300" w:lineRule="exact"/>
              <w:jc w:val="center"/>
              <w:snapToGrid w:val="0"/>
            </w:pPr>
            <w:r>
              <w:rPr>
                <w:b/>
                <w:sz w:val="21"/>
              </w:rPr>
              <w:t>工作项</w:t>
            </w:r>
          </w:p>
        </w:tc>
        <w:tc>
          <w:tcPr>
            <w:tcW w:type="dxa" w:w="56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8EEF4"/>
          </w:tcPr>
          <w:p>
            <w:pPr>
              <w:spacing w:after="0" w:line="300" w:lineRule="exact"/>
              <w:jc w:val="center"/>
              <w:snapToGrid w:val="0"/>
            </w:pPr>
            <w:r>
              <w:rPr>
                <w:b/>
                <w:sz w:val="21"/>
              </w:rPr>
              <w:t>完成结果</w:t>
            </w:r>
          </w:p>
        </w:tc>
        <w:tc>
          <w:tcPr>
            <w:tcW w:type="dxa" w:w="273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8EEF4"/>
          </w:tcPr>
          <w:p>
            <w:pPr>
              <w:spacing w:after="0" w:line="300" w:lineRule="exact"/>
              <w:jc w:val="center"/>
              <w:snapToGrid w:val="0"/>
            </w:pPr>
            <w:r>
              <w:rPr>
                <w:b/>
                <w:sz w:val="21"/>
              </w:rPr>
              <w:t>交付材料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环境搭建与运行</w:t>
            </w:r>
          </w:p>
        </w:tc>
        <w:tc>
          <w:tcPr>
            <w:tcW w:type="dxa" w:w="56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MacBook 上的 QEMU、ARM 工具链、CMake 和 GDB 已完成验证；最小 Demo 可构建、运行和调试</w:t>
            </w:r>
          </w:p>
        </w:tc>
        <w:tc>
          <w:tcPr>
            <w:tcW w:type="dxa" w:w="273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环境验证报告、构建与运行脚本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启动流程学习</w:t>
            </w:r>
          </w:p>
        </w:tc>
        <w:tc>
          <w:tcPr>
            <w:tcW w:type="dxa" w:w="56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整理向量表、复位入口、数据段初始化及进入 main 的流程；完成断点和单步观察</w:t>
            </w:r>
          </w:p>
        </w:tc>
        <w:tc>
          <w:tcPr>
            <w:tcW w:type="dxa" w:w="273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启动代码、平台说明、学习笔记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工业需求调研</w:t>
            </w:r>
          </w:p>
        </w:tc>
        <w:tc>
          <w:tcPr>
            <w:tcW w:type="dxa" w:w="56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整理 S7 启动相关公开资料，以及固件校验、升级恢复等需求</w:t>
            </w:r>
          </w:p>
        </w:tc>
        <w:tc>
          <w:tcPr>
            <w:tcW w:type="dxa" w:w="273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工业需求与启动流程笔记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工程与周报</w:t>
            </w:r>
          </w:p>
        </w:tc>
        <w:tc>
          <w:tcPr>
            <w:tcW w:type="dxa" w:w="5688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已建立代码目录、README 和 Git 仓库；10 月 13 日完成第一周基线提交</w:t>
            </w:r>
          </w:p>
        </w:tc>
        <w:tc>
          <w:tcPr>
            <w:tcW w:type="dxa" w:w="2736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提交 8bb81c4、本周报</w:t>
            </w:r>
          </w:p>
        </w:tc>
      </w:tr>
    </w:tbl>
    <w:p>
      <w:pPr>
        <w:spacing w:after="40" w:before="0" w:line="240" w:lineRule="auto"/>
        <w:snapToGrid w:val="0"/>
      </w:pPr>
      <w:r>
        <w:rPr>
          <w:sz w:val="4"/>
        </w:rPr>
      </w:r>
    </w:p>
    <w:p>
      <w:pPr>
        <w:snapToGrid w:val="0"/>
      </w:pPr>
      <w:r>
        <w:t>10 月 13 日增强验证共 6 项检查通过，涵盖工具、全新构建及 4 个固件运行场景。除正常启动外，还检查了内存污染后的初始化恢复，以及变量被破坏时的错误输出。详细步骤和原始日志保留在验证报告中。</w:t>
      </w:r>
    </w:p>
    <w:p>
      <w:pPr>
        <w:pStyle w:val="Heading1"/>
        <w:snapToGrid w:val="0"/>
      </w:pPr>
      <w:r>
        <w:t>二 学习重点与当前问题</w:t>
      </w:r>
    </w:p>
    <w:p>
      <w:pPr>
        <w:snapToGrid w:val="0"/>
      </w:pPr>
      <w:r>
        <w:t>启动流程的学习重点是把汇编、链接脚本和 C 程序对应起来：启动代码复制 .data、清零 .bss，再进入 main；链接脚本负责安排代码、数据和栈的位置。后续需要继续结合调试器，熟悉各步骤的实际执行过程。</w:t>
      </w:r>
    </w:p>
    <w:p>
      <w:pPr>
        <w:snapToGrid w:val="0"/>
      </w:pPr>
      <w:r>
        <w:t>验证中值得保留的方法是先把数据区写成错误值，再检查启动后是否恢复。这样可以避免模拟器内存初值恰好为零，导致清零代码未正确执行却仍显示通过。</w:t>
      </w:r>
    </w:p>
    <w:p>
      <w:pPr>
        <w:snapToGrid w:val="0"/>
      </w:pPr>
      <w:r>
        <w:t>当前平台为 QEMU mps2-an500，模拟 Cortex-M7。第一周输出使用 semihosting，代码区实际为模拟 SRAM。S7 资料用于需求参考，具体型号的启动行为仍需进一步确认。</w:t>
      </w:r>
    </w:p>
    <w:p>
      <w:pPr>
        <w:pStyle w:val="Heading1"/>
        <w:pageBreakBefore/>
        <w:snapToGrid w:val="0"/>
      </w:pPr>
      <w:r>
        <w:t>三 截至本次更新的后续进度</w:t>
      </w:r>
    </w:p>
    <w:p>
      <w:pPr>
        <w:snapToGrid w:val="0"/>
      </w:pPr>
      <w:r>
        <w:t>10 月 14 日已提交第二周阶段代码，提交号为 8cbafe1。在保留第一周 Demo 的基础上，增加了独立启动目标、向量表与异常入口，以及 UART0 轮询发送。关闭 semihosting 后，启动日志仍可经模拟 UART 输出。</w:t>
      </w:r>
    </w:p>
    <w:p>
      <w:pPr>
        <w:snapToGrid w:val="0"/>
      </w:pPr>
      <w:r>
        <w:t>第二周最终记录显示 12 项检查全部通过，包括模型时钟、构建、第一周回归，以及 9 个第二周运行场景，其中正常启动重复了 3 次。已验证数据初始化、UART 参数边界和部分故障路径。这些属于后续阶段成果，未计入第一周完成项。</w:t>
      </w:r>
    </w:p>
    <w:p>
      <w:pPr>
        <w:pStyle w:val="Heading1"/>
        <w:snapToGrid w:val="0"/>
      </w:pPr>
      <w:r>
        <w:t>四 下一阶段计划及需确认事项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8EEF4"/>
          </w:tcPr>
          <w:p>
            <w:pPr>
              <w:spacing w:after="0" w:line="300" w:lineRule="exact"/>
              <w:jc w:val="center"/>
              <w:snapToGrid w:val="0"/>
            </w:pPr>
            <w:r>
              <w:rPr>
                <w:b/>
                <w:sz w:val="21"/>
              </w:rPr>
              <w:t>下一阶段工作</w:t>
            </w:r>
          </w:p>
        </w:tc>
        <w:tc>
          <w:tcPr>
            <w:tcW w:type="dxa" w:w="7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E8EEF4"/>
          </w:tcPr>
          <w:p>
            <w:pPr>
              <w:spacing w:after="0" w:line="300" w:lineRule="exact"/>
              <w:jc w:val="center"/>
              <w:snapToGrid w:val="0"/>
            </w:pPr>
            <w:r>
              <w:rPr>
                <w:b/>
                <w:sz w:val="21"/>
              </w:rPr>
              <w:t>预期结果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熟悉现有代码与调试流程</w:t>
            </w:r>
          </w:p>
        </w:tc>
        <w:tc>
          <w:tcPr>
            <w:tcW w:type="dxa" w:w="7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能结合代码说明复位到 main 的过程，并演示正常启动和一个故障用例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增加 UART 接收与中断处理</w:t>
            </w:r>
          </w:p>
        </w:tc>
        <w:tc>
          <w:tcPr>
            <w:tcW w:type="dxa" w:w="7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完成接收、缓冲区边界及溢出处理测试，保存对应日志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明确 Flash 仿真方案</w:t>
            </w:r>
          </w:p>
        </w:tc>
        <w:tc>
          <w:tcPr>
            <w:tcW w:type="dxa" w:w="720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  <w:shd w:fill="FFFFFF"/>
          </w:tcPr>
          <w:p>
            <w:pPr>
              <w:spacing w:after="0" w:line="300" w:lineRule="exact"/>
              <w:snapToGrid w:val="0"/>
            </w:pPr>
            <w:r>
              <w:rPr>
                <w:b w:val="0"/>
                <w:sz w:val="21"/>
              </w:rPr>
              <w:t>先确定擦写约束、重启后数据保存方式和断电测试条件，再实施存储层</w:t>
            </w:r>
          </w:p>
        </w:tc>
      </w:tr>
    </w:tbl>
    <w:p>
      <w:pPr>
        <w:spacing w:after="40" w:before="0" w:line="240" w:lineRule="auto"/>
        <w:snapToGrid w:val="0"/>
      </w:pPr>
      <w:r>
        <w:rPr>
          <w:sz w:val="4"/>
        </w:rPr>
      </w:r>
    </w:p>
    <w:p>
      <w:pPr>
        <w:snapToGrid w:val="0"/>
      </w:pPr>
      <w:r>
        <w:t>当前尚未实现持久化 Flash、独立应用跳转、签名验证和升级回滚。需请带教确认参考的 S7 CPU 型号，以及本项目以功能演示为主，还是需要进一步对应安全标准条款，以便确定后续开发范围。</w:t>
      </w:r>
    </w:p>
    <w:p>
      <w:pPr>
        <w:pStyle w:val="Heading1"/>
        <w:snapToGrid w:val="0"/>
      </w:pPr>
      <w:r>
        <w:t>五 交付与证据入口</w:t>
      </w:r>
    </w:p>
    <w:p>
      <w:pPr>
        <w:snapToGrid w:val="0"/>
      </w:pPr>
      <w:r>
        <w:t>工程路径：/Users/charton/projects/Siemens_Intern/codes</w:t>
      </w:r>
    </w:p>
    <w:p>
      <w:pPr>
        <w:snapToGrid w:val="0"/>
      </w:pPr>
      <w:r>
        <w:t>第一周交付：README.md、docs/validation-report.md、docs/week1-learning-notes.md、docs/week1-audit.md。第一周检查汇总位于 logs/week1-review-20261013-125900/summary.json。</w:t>
      </w:r>
    </w:p>
    <w:p>
      <w:pPr>
        <w:snapToGrid w:val="0"/>
      </w:pPr>
      <w:r>
        <w:t>后续进度依据：docs/week2-test-report.md 及 logs/week2-20261014-003543/summary.json。完整实验参数和调试细节见上述材料。</w:t>
      </w:r>
    </w:p>
    <w:sectPr w:rsidR="00FC693F" w:rsidRPr="0006063C" w:rsidSect="00034616">
      <w:footerReference w:type="default" r:id="rId9"/>
      <w:pgSz w:w="12240" w:h="15840"/>
      <w:pgMar w:top="1037" w:right="1080" w:bottom="1008" w:left="1080" w:header="720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20"/>
    </w:pPr>
    <w:rPr>
      <w:rFonts w:ascii="Calibri" w:hAnsi="Calibri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40"/>
      <w:outlineLvl w:val="0"/>
    </w:pPr>
    <w:rPr>
      <w:rFonts w:ascii="Calibri" w:hAnsi="Calibri" w:eastAsia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/>
      <w:outlineLvl w:val="1"/>
    </w:pPr>
    <w:rPr>
      <w:rFonts w:ascii="Calibri" w:hAnsi="Calibri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="Calibri" w:hAnsi="Calibri" w:eastAsia="Heiti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40" w:lineRule="auto"/>
      <w:contextualSpacing/>
    </w:pPr>
    <w:rPr>
      <w:rFonts w:ascii="Calibri" w:hAnsi="Calibri" w:eastAsia="Hei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="Calibri" w:hAnsi="Calibri" w:eastAsia="Hei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工业嵌入式 Bootloader 开发第一周周报</dc:title>
  <dc:subject>第一周工作汇报及截至2026年10月16日的进度补充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