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CODSOFT TASK 2</w:t>
        <w:br/>
        <w:t>EXPLORATORY DATA ANALYSIS (EDA)</w:t>
      </w:r>
    </w:p>
    <w:p>
      <w:pPr>
        <w:jc w:val="center"/>
      </w:pPr>
      <w:r>
        <w:rPr>
          <w:i/>
          <w:sz w:val="22"/>
        </w:rPr>
        <w:t>E-Commerce Sales Analysis | Dataset: dataset2.csv</w:t>
      </w:r>
    </w:p>
    <w:p>
      <w:pPr>
        <w:pStyle w:val="Heading1"/>
      </w:pPr>
      <w:r>
        <w:t>1. Project Overview</w:t>
      </w:r>
    </w:p>
    <w:p>
      <w:r>
        <w:t>This project was completed as part of the CODSOFT Data Analytics Internship. The objective of Task 2 is to load a dataset, examine its features using descriptive statistics, identify trends and distributions, investigate relationships between variables, detect outliers or unusual patterns, and use summary statistics to answer business questions.</w:t>
      </w:r>
    </w:p>
    <w:p>
      <w:pPr>
        <w:pStyle w:val="Heading1"/>
      </w:pPr>
      <w:r>
        <w:t>2. Dataset Description</w:t>
      </w:r>
    </w:p>
    <w:p>
      <w:r>
        <w:t>The dataset contains 1,000 e-commerce orders recorded during 2025. It includes order details, customer information, product categories, geographic regions, pricing, discounts, sales value, payment methods, and return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Column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  <w:tc>
          <w:tcPr>
            <w:tcW w:type="dxa" w:w="3360"/>
          </w:tcPr>
          <w:p>
            <w:r>
              <w:t>Data Type</w:t>
            </w:r>
          </w:p>
        </w:tc>
      </w:tr>
      <w:tr>
        <w:tc>
          <w:tcPr>
            <w:tcW w:type="dxa" w:w="3360"/>
          </w:tcPr>
          <w:p>
            <w:r>
              <w:t>Order_ID</w:t>
            </w:r>
          </w:p>
        </w:tc>
        <w:tc>
          <w:tcPr>
            <w:tcW w:type="dxa" w:w="3360"/>
          </w:tcPr>
          <w:p>
            <w:r>
              <w:t>Unique order identifier</w:t>
            </w:r>
          </w:p>
        </w:tc>
        <w:tc>
          <w:tcPr>
            <w:tcW w:type="dxa" w:w="3360"/>
          </w:tcPr>
          <w:p>
            <w:r>
              <w:t>Integer</w:t>
            </w:r>
          </w:p>
        </w:tc>
      </w:tr>
      <w:tr>
        <w:tc>
          <w:tcPr>
            <w:tcW w:type="dxa" w:w="3360"/>
          </w:tcPr>
          <w:p>
            <w:r>
              <w:t>Order_Date</w:t>
            </w:r>
          </w:p>
        </w:tc>
        <w:tc>
          <w:tcPr>
            <w:tcW w:type="dxa" w:w="3360"/>
          </w:tcPr>
          <w:p>
            <w:r>
              <w:t>Date of order</w:t>
            </w:r>
          </w:p>
        </w:tc>
        <w:tc>
          <w:tcPr>
            <w:tcW w:type="dxa" w:w="3360"/>
          </w:tcPr>
          <w:p>
            <w:r>
              <w:t>Date</w:t>
            </w:r>
          </w:p>
        </w:tc>
      </w:tr>
      <w:tr>
        <w:tc>
          <w:tcPr>
            <w:tcW w:type="dxa" w:w="3360"/>
          </w:tcPr>
          <w:p>
            <w:r>
              <w:t>Customer_ID</w:t>
            </w:r>
          </w:p>
        </w:tc>
        <w:tc>
          <w:tcPr>
            <w:tcW w:type="dxa" w:w="3360"/>
          </w:tcPr>
          <w:p>
            <w:r>
              <w:t>Customer identifier</w:t>
            </w:r>
          </w:p>
        </w:tc>
        <w:tc>
          <w:tcPr>
            <w:tcW w:type="dxa" w:w="3360"/>
          </w:tcPr>
          <w:p>
            <w:r>
              <w:t>Text</w:t>
            </w:r>
          </w:p>
        </w:tc>
      </w:tr>
      <w:tr>
        <w:tc>
          <w:tcPr>
            <w:tcW w:type="dxa" w:w="3360"/>
          </w:tcPr>
          <w:p>
            <w:r>
              <w:t>Category</w:t>
            </w:r>
          </w:p>
        </w:tc>
        <w:tc>
          <w:tcPr>
            <w:tcW w:type="dxa" w:w="3360"/>
          </w:tcPr>
          <w:p>
            <w:r>
              <w:t>Product category</w:t>
            </w:r>
          </w:p>
        </w:tc>
        <w:tc>
          <w:tcPr>
            <w:tcW w:type="dxa" w:w="3360"/>
          </w:tcPr>
          <w:p>
            <w:r>
              <w:t>Text</w:t>
            </w:r>
          </w:p>
        </w:tc>
      </w:tr>
      <w:tr>
        <w:tc>
          <w:tcPr>
            <w:tcW w:type="dxa" w:w="3360"/>
          </w:tcPr>
          <w:p>
            <w:r>
              <w:t>Product</w:t>
            </w:r>
          </w:p>
        </w:tc>
        <w:tc>
          <w:tcPr>
            <w:tcW w:type="dxa" w:w="3360"/>
          </w:tcPr>
          <w:p>
            <w:r>
              <w:t>Product name</w:t>
            </w:r>
          </w:p>
        </w:tc>
        <w:tc>
          <w:tcPr>
            <w:tcW w:type="dxa" w:w="3360"/>
          </w:tcPr>
          <w:p>
            <w:r>
              <w:t>Text</w:t>
            </w:r>
          </w:p>
        </w:tc>
      </w:tr>
      <w:tr>
        <w:tc>
          <w:tcPr>
            <w:tcW w:type="dxa" w:w="3360"/>
          </w:tcPr>
          <w:p>
            <w:r>
              <w:t>Region</w:t>
            </w:r>
          </w:p>
        </w:tc>
        <w:tc>
          <w:tcPr>
            <w:tcW w:type="dxa" w:w="3360"/>
          </w:tcPr>
          <w:p>
            <w:r>
              <w:t>Customer/order region</w:t>
            </w:r>
          </w:p>
        </w:tc>
        <w:tc>
          <w:tcPr>
            <w:tcW w:type="dxa" w:w="3360"/>
          </w:tcPr>
          <w:p>
            <w:r>
              <w:t>Text</w:t>
            </w:r>
          </w:p>
        </w:tc>
      </w:tr>
      <w:tr>
        <w:tc>
          <w:tcPr>
            <w:tcW w:type="dxa" w:w="3360"/>
          </w:tcPr>
          <w:p>
            <w:r>
              <w:t>Customer_Type</w:t>
            </w:r>
          </w:p>
        </w:tc>
        <w:tc>
          <w:tcPr>
            <w:tcW w:type="dxa" w:w="3360"/>
          </w:tcPr>
          <w:p>
            <w:r>
              <w:t>New or Returning customer</w:t>
            </w:r>
          </w:p>
        </w:tc>
        <w:tc>
          <w:tcPr>
            <w:tcW w:type="dxa" w:w="3360"/>
          </w:tcPr>
          <w:p>
            <w:r>
              <w:t>Text</w:t>
            </w:r>
          </w:p>
        </w:tc>
      </w:tr>
      <w:tr>
        <w:tc>
          <w:tcPr>
            <w:tcW w:type="dxa" w:w="3360"/>
          </w:tcPr>
          <w:p>
            <w:r>
              <w:t>Quantity</w:t>
            </w:r>
          </w:p>
        </w:tc>
        <w:tc>
          <w:tcPr>
            <w:tcW w:type="dxa" w:w="3360"/>
          </w:tcPr>
          <w:p>
            <w:r>
              <w:t>Units purchased</w:t>
            </w:r>
          </w:p>
        </w:tc>
        <w:tc>
          <w:tcPr>
            <w:tcW w:type="dxa" w:w="3360"/>
          </w:tcPr>
          <w:p>
            <w:r>
              <w:t>Integer</w:t>
            </w:r>
          </w:p>
        </w:tc>
      </w:tr>
      <w:tr>
        <w:tc>
          <w:tcPr>
            <w:tcW w:type="dxa" w:w="3360"/>
          </w:tcPr>
          <w:p>
            <w:r>
              <w:t>Unit_Price</w:t>
            </w:r>
          </w:p>
        </w:tc>
        <w:tc>
          <w:tcPr>
            <w:tcW w:type="dxa" w:w="3360"/>
          </w:tcPr>
          <w:p>
            <w:r>
              <w:t>Price per unit</w:t>
            </w:r>
          </w:p>
        </w:tc>
        <w:tc>
          <w:tcPr>
            <w:tcW w:type="dxa" w:w="3360"/>
          </w:tcPr>
          <w:p>
            <w:r>
              <w:t>Float</w:t>
            </w:r>
          </w:p>
        </w:tc>
      </w:tr>
      <w:tr>
        <w:tc>
          <w:tcPr>
            <w:tcW w:type="dxa" w:w="3360"/>
          </w:tcPr>
          <w:p>
            <w:r>
              <w:t>Discount_Percent</w:t>
            </w:r>
          </w:p>
        </w:tc>
        <w:tc>
          <w:tcPr>
            <w:tcW w:type="dxa" w:w="3360"/>
          </w:tcPr>
          <w:p>
            <w:r>
              <w:t>Discount applied</w:t>
            </w:r>
          </w:p>
        </w:tc>
        <w:tc>
          <w:tcPr>
            <w:tcW w:type="dxa" w:w="3360"/>
          </w:tcPr>
          <w:p>
            <w:r>
              <w:t>Integer</w:t>
            </w:r>
          </w:p>
        </w:tc>
      </w:tr>
      <w:tr>
        <w:tc>
          <w:tcPr>
            <w:tcW w:type="dxa" w:w="3360"/>
          </w:tcPr>
          <w:p>
            <w:r>
              <w:t>Sales</w:t>
            </w:r>
          </w:p>
        </w:tc>
        <w:tc>
          <w:tcPr>
            <w:tcW w:type="dxa" w:w="3360"/>
          </w:tcPr>
          <w:p>
            <w:r>
              <w:t>Net order sales value</w:t>
            </w:r>
          </w:p>
        </w:tc>
        <w:tc>
          <w:tcPr>
            <w:tcW w:type="dxa" w:w="3360"/>
          </w:tcPr>
          <w:p>
            <w:r>
              <w:t>Float</w:t>
            </w:r>
          </w:p>
        </w:tc>
      </w:tr>
      <w:tr>
        <w:tc>
          <w:tcPr>
            <w:tcW w:type="dxa" w:w="3360"/>
          </w:tcPr>
          <w:p>
            <w:r>
              <w:t>Payment_Method</w:t>
            </w:r>
          </w:p>
        </w:tc>
        <w:tc>
          <w:tcPr>
            <w:tcW w:type="dxa" w:w="3360"/>
          </w:tcPr>
          <w:p>
            <w:r>
              <w:t>Payment method used</w:t>
            </w:r>
          </w:p>
        </w:tc>
        <w:tc>
          <w:tcPr>
            <w:tcW w:type="dxa" w:w="3360"/>
          </w:tcPr>
          <w:p>
            <w:r>
              <w:t>Text</w:t>
            </w:r>
          </w:p>
        </w:tc>
      </w:tr>
      <w:tr>
        <w:tc>
          <w:tcPr>
            <w:tcW w:type="dxa" w:w="3360"/>
          </w:tcPr>
          <w:p>
            <w:r>
              <w:t>Returned</w:t>
            </w:r>
          </w:p>
        </w:tc>
        <w:tc>
          <w:tcPr>
            <w:tcW w:type="dxa" w:w="3360"/>
          </w:tcPr>
          <w:p>
            <w:r>
              <w:t>Whether order was returned</w:t>
            </w:r>
          </w:p>
        </w:tc>
        <w:tc>
          <w:tcPr>
            <w:tcW w:type="dxa" w:w="3360"/>
          </w:tcPr>
          <w:p>
            <w:r>
              <w:t>Text</w:t>
            </w:r>
          </w:p>
        </w:tc>
      </w:tr>
    </w:tbl>
    <w:p>
      <w:pPr>
        <w:pStyle w:val="Heading1"/>
      </w:pPr>
      <w:r>
        <w:t>3. Analysis Approach</w:t>
      </w:r>
    </w:p>
    <w:p>
      <w:pPr>
        <w:pStyle w:val="ListBullet"/>
      </w:pPr>
      <w:r>
        <w:t>Imported dataset2.csv using Pandas.</w:t>
      </w:r>
    </w:p>
    <w:p>
      <w:pPr>
        <w:pStyle w:val="ListBullet"/>
      </w:pPr>
      <w:r>
        <w:t>Inspected rows, columns, data types, and descriptive statistics.</w:t>
      </w:r>
    </w:p>
    <w:p>
      <w:pPr>
        <w:pStyle w:val="ListBullet"/>
      </w:pPr>
      <w:r>
        <w:t>Analyzed sales by category, region, customer type, payment method, and month.</w:t>
      </w:r>
    </w:p>
    <w:p>
      <w:pPr>
        <w:pStyle w:val="ListBullet"/>
      </w:pPr>
      <w:r>
        <w:t>Examined sales distributions using mean, median, quartiles, minimum, and maximum.</w:t>
      </w:r>
    </w:p>
    <w:p>
      <w:pPr>
        <w:pStyle w:val="ListBullet"/>
      </w:pPr>
      <w:r>
        <w:t>Checked relationships among quantity, unit price, discount, and sales using correlation.</w:t>
      </w:r>
    </w:p>
    <w:p>
      <w:pPr>
        <w:pStyle w:val="ListBullet"/>
      </w:pPr>
      <w:r>
        <w:t>Detected sales outliers using the Interquartile Range (IQR) method.</w:t>
      </w:r>
    </w:p>
    <w:p>
      <w:pPr>
        <w:pStyle w:val="ListBullet"/>
      </w:pPr>
      <w:r>
        <w:t>Converted the findings into business-oriented observations.</w:t>
      </w:r>
    </w:p>
    <w:p>
      <w:pPr>
        <w:pStyle w:val="Heading1"/>
      </w:pPr>
      <w:r>
        <w:t>4. Key Descriptive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Total Orders</w:t>
            </w:r>
          </w:p>
        </w:tc>
        <w:tc>
          <w:tcPr>
            <w:tcW w:type="dxa" w:w="5040"/>
          </w:tcPr>
          <w:p>
            <w:r>
              <w:t>1,000</w:t>
            </w:r>
          </w:p>
        </w:tc>
      </w:tr>
      <w:tr>
        <w:tc>
          <w:tcPr>
            <w:tcW w:type="dxa" w:w="5040"/>
          </w:tcPr>
          <w:p>
            <w:r>
              <w:t>Total Quantity Sold</w:t>
            </w:r>
          </w:p>
        </w:tc>
        <w:tc>
          <w:tcPr>
            <w:tcW w:type="dxa" w:w="5040"/>
          </w:tcPr>
          <w:p>
            <w:r>
              <w:t>2,010</w:t>
            </w:r>
          </w:p>
        </w:tc>
      </w:tr>
      <w:tr>
        <w:tc>
          <w:tcPr>
            <w:tcW w:type="dxa" w:w="5040"/>
          </w:tcPr>
          <w:p>
            <w:r>
              <w:t>Total Sales</w:t>
            </w:r>
          </w:p>
        </w:tc>
        <w:tc>
          <w:tcPr>
            <w:tcW w:type="dxa" w:w="5040"/>
          </w:tcPr>
          <w:p>
            <w:r>
              <w:t>₹16,547,535.05</w:t>
            </w:r>
          </w:p>
        </w:tc>
      </w:tr>
      <w:tr>
        <w:tc>
          <w:tcPr>
            <w:tcW w:type="dxa" w:w="5040"/>
          </w:tcPr>
          <w:p>
            <w:r>
              <w:t>Average Order Value</w:t>
            </w:r>
          </w:p>
        </w:tc>
        <w:tc>
          <w:tcPr>
            <w:tcW w:type="dxa" w:w="5040"/>
          </w:tcPr>
          <w:p>
            <w:r>
              <w:t>₹16,547.54</w:t>
            </w:r>
          </w:p>
        </w:tc>
      </w:tr>
      <w:tr>
        <w:tc>
          <w:tcPr>
            <w:tcW w:type="dxa" w:w="5040"/>
          </w:tcPr>
          <w:p>
            <w:r>
              <w:t>Median Order Value</w:t>
            </w:r>
          </w:p>
        </w:tc>
        <w:tc>
          <w:tcPr>
            <w:tcW w:type="dxa" w:w="5040"/>
          </w:tcPr>
          <w:p>
            <w:r>
              <w:t>₹4,783.20</w:t>
            </w:r>
          </w:p>
        </w:tc>
      </w:tr>
      <w:tr>
        <w:tc>
          <w:tcPr>
            <w:tcW w:type="dxa" w:w="5040"/>
          </w:tcPr>
          <w:p>
            <w:r>
              <w:t>Return Rate</w:t>
            </w:r>
          </w:p>
        </w:tc>
        <w:tc>
          <w:tcPr>
            <w:tcW w:type="dxa" w:w="5040"/>
          </w:tcPr>
          <w:p>
            <w:r>
              <w:t>7.80%</w:t>
            </w:r>
          </w:p>
        </w:tc>
      </w:tr>
      <w:tr>
        <w:tc>
          <w:tcPr>
            <w:tcW w:type="dxa" w:w="5040"/>
          </w:tcPr>
          <w:p>
            <w:r>
              <w:t>Minimum Sales</w:t>
            </w:r>
          </w:p>
        </w:tc>
        <w:tc>
          <w:tcPr>
            <w:tcW w:type="dxa" w:w="5040"/>
          </w:tcPr>
          <w:p>
            <w:r>
              <w:t>₹240.00</w:t>
            </w:r>
          </w:p>
        </w:tc>
      </w:tr>
      <w:tr>
        <w:tc>
          <w:tcPr>
            <w:tcW w:type="dxa" w:w="5040"/>
          </w:tcPr>
          <w:p>
            <w:r>
              <w:t>Maximum Sales</w:t>
            </w:r>
          </w:p>
        </w:tc>
        <w:tc>
          <w:tcPr>
            <w:tcW w:type="dxa" w:w="5040"/>
          </w:tcPr>
          <w:p>
            <w:r>
              <w:t>₹271,073.79</w:t>
            </w:r>
          </w:p>
        </w:tc>
      </w:tr>
    </w:tbl>
    <w:p>
      <w:pPr>
        <w:pStyle w:val="Heading1"/>
      </w:pPr>
      <w:r>
        <w:t>5. Sales Analysis by Category</w:t>
      </w:r>
    </w:p>
    <w:p>
      <w:r>
        <w:t>Electronics generated the highest total sales in the dataset at ₹12,117,124.98. The category with the lowest total sales was Beauty, at ₹313,144.17.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Category</w:t>
            </w:r>
          </w:p>
        </w:tc>
        <w:tc>
          <w:tcPr>
            <w:tcW w:type="dxa" w:w="2520"/>
          </w:tcPr>
          <w:p>
            <w:r>
              <w:t>Total Sales</w:t>
            </w:r>
          </w:p>
        </w:tc>
        <w:tc>
          <w:tcPr>
            <w:tcW w:type="dxa" w:w="2520"/>
          </w:tcPr>
          <w:p>
            <w:r>
              <w:t>Average Order</w:t>
            </w:r>
          </w:p>
        </w:tc>
        <w:tc>
          <w:tcPr>
            <w:tcW w:type="dxa" w:w="2520"/>
          </w:tcPr>
          <w:p>
            <w:r>
              <w:t>Orders</w:t>
            </w:r>
          </w:p>
        </w:tc>
      </w:tr>
      <w:tr>
        <w:tc>
          <w:tcPr>
            <w:tcW w:type="dxa" w:w="2520"/>
          </w:tcPr>
          <w:p>
            <w:r>
              <w:t>Electronics</w:t>
            </w:r>
          </w:p>
        </w:tc>
        <w:tc>
          <w:tcPr>
            <w:tcW w:type="dxa" w:w="2520"/>
          </w:tcPr>
          <w:p>
            <w:r>
              <w:t>₹12,117,124.98</w:t>
            </w:r>
          </w:p>
        </w:tc>
        <w:tc>
          <w:tcPr>
            <w:tcW w:type="dxa" w:w="2520"/>
          </w:tcPr>
          <w:p>
            <w:r>
              <w:t>₹45,045.07</w:t>
            </w:r>
          </w:p>
        </w:tc>
        <w:tc>
          <w:tcPr>
            <w:tcW w:type="dxa" w:w="2520"/>
          </w:tcPr>
          <w:p>
            <w:r>
              <w:t>269</w:t>
            </w:r>
          </w:p>
        </w:tc>
      </w:tr>
      <w:tr>
        <w:tc>
          <w:tcPr>
            <w:tcW w:type="dxa" w:w="2520"/>
          </w:tcPr>
          <w:p>
            <w:r>
              <w:t>Home &amp; Kitchen</w:t>
            </w:r>
          </w:p>
        </w:tc>
        <w:tc>
          <w:tcPr>
            <w:tcW w:type="dxa" w:w="2520"/>
          </w:tcPr>
          <w:p>
            <w:r>
              <w:t>₹1,819,494.15</w:t>
            </w:r>
          </w:p>
        </w:tc>
        <w:tc>
          <w:tcPr>
            <w:tcW w:type="dxa" w:w="2520"/>
          </w:tcPr>
          <w:p>
            <w:r>
              <w:t>₹8,705.71</w:t>
            </w:r>
          </w:p>
        </w:tc>
        <w:tc>
          <w:tcPr>
            <w:tcW w:type="dxa" w:w="2520"/>
          </w:tcPr>
          <w:p>
            <w:r>
              <w:t>209</w:t>
            </w:r>
          </w:p>
        </w:tc>
      </w:tr>
      <w:tr>
        <w:tc>
          <w:tcPr>
            <w:tcW w:type="dxa" w:w="2520"/>
          </w:tcPr>
          <w:p>
            <w:r>
              <w:t>Sports</w:t>
            </w:r>
          </w:p>
        </w:tc>
        <w:tc>
          <w:tcPr>
            <w:tcW w:type="dxa" w:w="2520"/>
          </w:tcPr>
          <w:p>
            <w:r>
              <w:t>₹1,290,625.10</w:t>
            </w:r>
          </w:p>
        </w:tc>
        <w:tc>
          <w:tcPr>
            <w:tcW w:type="dxa" w:w="2520"/>
          </w:tcPr>
          <w:p>
            <w:r>
              <w:t>₹8,839.90</w:t>
            </w:r>
          </w:p>
        </w:tc>
        <w:tc>
          <w:tcPr>
            <w:tcW w:type="dxa" w:w="2520"/>
          </w:tcPr>
          <w:p>
            <w:r>
              <w:t>146</w:t>
            </w:r>
          </w:p>
        </w:tc>
      </w:tr>
      <w:tr>
        <w:tc>
          <w:tcPr>
            <w:tcW w:type="dxa" w:w="2520"/>
          </w:tcPr>
          <w:p>
            <w:r>
              <w:t>Clothing</w:t>
            </w:r>
          </w:p>
        </w:tc>
        <w:tc>
          <w:tcPr>
            <w:tcW w:type="dxa" w:w="2520"/>
          </w:tcPr>
          <w:p>
            <w:r>
              <w:t>₹1,007,146.65</w:t>
            </w:r>
          </w:p>
        </w:tc>
        <w:tc>
          <w:tcPr>
            <w:tcW w:type="dxa" w:w="2520"/>
          </w:tcPr>
          <w:p>
            <w:r>
              <w:t>₹4,476.21</w:t>
            </w:r>
          </w:p>
        </w:tc>
        <w:tc>
          <w:tcPr>
            <w:tcW w:type="dxa" w:w="2520"/>
          </w:tcPr>
          <w:p>
            <w:r>
              <w:t>225</w:t>
            </w:r>
          </w:p>
        </w:tc>
      </w:tr>
      <w:tr>
        <w:tc>
          <w:tcPr>
            <w:tcW w:type="dxa" w:w="2520"/>
          </w:tcPr>
          <w:p>
            <w:r>
              <w:t>Beauty</w:t>
            </w:r>
          </w:p>
        </w:tc>
        <w:tc>
          <w:tcPr>
            <w:tcW w:type="dxa" w:w="2520"/>
          </w:tcPr>
          <w:p>
            <w:r>
              <w:t>₹313,144.17</w:t>
            </w:r>
          </w:p>
        </w:tc>
        <w:tc>
          <w:tcPr>
            <w:tcW w:type="dxa" w:w="2520"/>
          </w:tcPr>
          <w:p>
            <w:r>
              <w:t>₹2,073.80</w:t>
            </w:r>
          </w:p>
        </w:tc>
        <w:tc>
          <w:tcPr>
            <w:tcW w:type="dxa" w:w="2520"/>
          </w:tcPr>
          <w:p>
            <w:r>
              <w:t>151</w:t>
            </w:r>
          </w:p>
        </w:tc>
      </w:tr>
    </w:tbl>
    <w:p>
      <w:pPr>
        <w:pStyle w:val="Heading1"/>
      </w:pPr>
      <w:r>
        <w:t>6. Regional Sales Analysis</w:t>
      </w:r>
    </w:p>
    <w:p>
      <w:r>
        <w:t>West recorded the highest total sales, while East recorded the lowest total sales among the five regions.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Region</w:t>
            </w:r>
          </w:p>
        </w:tc>
        <w:tc>
          <w:tcPr>
            <w:tcW w:type="dxa" w:w="2520"/>
          </w:tcPr>
          <w:p>
            <w:r>
              <w:t>Total Sales</w:t>
            </w:r>
          </w:p>
        </w:tc>
        <w:tc>
          <w:tcPr>
            <w:tcW w:type="dxa" w:w="2520"/>
          </w:tcPr>
          <w:p>
            <w:r>
              <w:t>Average Order</w:t>
            </w:r>
          </w:p>
        </w:tc>
        <w:tc>
          <w:tcPr>
            <w:tcW w:type="dxa" w:w="2520"/>
          </w:tcPr>
          <w:p>
            <w:r>
              <w:t>Orders</w:t>
            </w:r>
          </w:p>
        </w:tc>
      </w:tr>
      <w:tr>
        <w:tc>
          <w:tcPr>
            <w:tcW w:type="dxa" w:w="2520"/>
          </w:tcPr>
          <w:p>
            <w:r>
              <w:t>West</w:t>
            </w:r>
          </w:p>
        </w:tc>
        <w:tc>
          <w:tcPr>
            <w:tcW w:type="dxa" w:w="2520"/>
          </w:tcPr>
          <w:p>
            <w:r>
              <w:t>₹3,815,112.50</w:t>
            </w:r>
          </w:p>
        </w:tc>
        <w:tc>
          <w:tcPr>
            <w:tcW w:type="dxa" w:w="2520"/>
          </w:tcPr>
          <w:p>
            <w:r>
              <w:t>₹14,617.29</w:t>
            </w:r>
          </w:p>
        </w:tc>
        <w:tc>
          <w:tcPr>
            <w:tcW w:type="dxa" w:w="2520"/>
          </w:tcPr>
          <w:p>
            <w:r>
              <w:t>261</w:t>
            </w:r>
          </w:p>
        </w:tc>
      </w:tr>
      <w:tr>
        <w:tc>
          <w:tcPr>
            <w:tcW w:type="dxa" w:w="2520"/>
          </w:tcPr>
          <w:p>
            <w:r>
              <w:t>Central</w:t>
            </w:r>
          </w:p>
        </w:tc>
        <w:tc>
          <w:tcPr>
            <w:tcW w:type="dxa" w:w="2520"/>
          </w:tcPr>
          <w:p>
            <w:r>
              <w:t>₹3,604,275.36</w:t>
            </w:r>
          </w:p>
        </w:tc>
        <w:tc>
          <w:tcPr>
            <w:tcW w:type="dxa" w:w="2520"/>
          </w:tcPr>
          <w:p>
            <w:r>
              <w:t>₹22,386.80</w:t>
            </w:r>
          </w:p>
        </w:tc>
        <w:tc>
          <w:tcPr>
            <w:tcW w:type="dxa" w:w="2520"/>
          </w:tcPr>
          <w:p>
            <w:r>
              <w:t>161</w:t>
            </w:r>
          </w:p>
        </w:tc>
      </w:tr>
      <w:tr>
        <w:tc>
          <w:tcPr>
            <w:tcW w:type="dxa" w:w="2520"/>
          </w:tcPr>
          <w:p>
            <w:r>
              <w:t>South</w:t>
            </w:r>
          </w:p>
        </w:tc>
        <w:tc>
          <w:tcPr>
            <w:tcW w:type="dxa" w:w="2520"/>
          </w:tcPr>
          <w:p>
            <w:r>
              <w:t>₹3,456,906.72</w:t>
            </w:r>
          </w:p>
        </w:tc>
        <w:tc>
          <w:tcPr>
            <w:tcW w:type="dxa" w:w="2520"/>
          </w:tcPr>
          <w:p>
            <w:r>
              <w:t>₹18,387.80</w:t>
            </w:r>
          </w:p>
        </w:tc>
        <w:tc>
          <w:tcPr>
            <w:tcW w:type="dxa" w:w="2520"/>
          </w:tcPr>
          <w:p>
            <w:r>
              <w:t>188</w:t>
            </w:r>
          </w:p>
        </w:tc>
      </w:tr>
      <w:tr>
        <w:tc>
          <w:tcPr>
            <w:tcW w:type="dxa" w:w="2520"/>
          </w:tcPr>
          <w:p>
            <w:r>
              <w:t>North</w:t>
            </w:r>
          </w:p>
        </w:tc>
        <w:tc>
          <w:tcPr>
            <w:tcW w:type="dxa" w:w="2520"/>
          </w:tcPr>
          <w:p>
            <w:r>
              <w:t>₹2,958,445.88</w:t>
            </w:r>
          </w:p>
        </w:tc>
        <w:tc>
          <w:tcPr>
            <w:tcW w:type="dxa" w:w="2520"/>
          </w:tcPr>
          <w:p>
            <w:r>
              <w:t>₹13,090.47</w:t>
            </w:r>
          </w:p>
        </w:tc>
        <w:tc>
          <w:tcPr>
            <w:tcW w:type="dxa" w:w="2520"/>
          </w:tcPr>
          <w:p>
            <w:r>
              <w:t>226</w:t>
            </w:r>
          </w:p>
        </w:tc>
      </w:tr>
      <w:tr>
        <w:tc>
          <w:tcPr>
            <w:tcW w:type="dxa" w:w="2520"/>
          </w:tcPr>
          <w:p>
            <w:r>
              <w:t>East</w:t>
            </w:r>
          </w:p>
        </w:tc>
        <w:tc>
          <w:tcPr>
            <w:tcW w:type="dxa" w:w="2520"/>
          </w:tcPr>
          <w:p>
            <w:r>
              <w:t>₹2,712,794.59</w:t>
            </w:r>
          </w:p>
        </w:tc>
        <w:tc>
          <w:tcPr>
            <w:tcW w:type="dxa" w:w="2520"/>
          </w:tcPr>
          <w:p>
            <w:r>
              <w:t>₹16,541.43</w:t>
            </w:r>
          </w:p>
        </w:tc>
        <w:tc>
          <w:tcPr>
            <w:tcW w:type="dxa" w:w="2520"/>
          </w:tcPr>
          <w:p>
            <w:r>
              <w:t>164</w:t>
            </w:r>
          </w:p>
        </w:tc>
      </w:tr>
    </w:tbl>
    <w:p>
      <w:pPr>
        <w:pStyle w:val="Heading1"/>
      </w:pPr>
      <w:r>
        <w:t>7. Customer Type Analysis</w:t>
      </w:r>
    </w:p>
    <w:p>
      <w:r>
        <w:t>Returning customers generated ₹9,859,533.55 from 583 orders, with an average order value of ₹16,911.72.</w:t>
      </w:r>
    </w:p>
    <w:p>
      <w:r>
        <w:t>New customers generated ₹6,688,001.50 from 417 orders, with an average order value of ₹16,038.37.</w:t>
      </w:r>
    </w:p>
    <w:p>
      <w:pPr>
        <w:pStyle w:val="Heading1"/>
      </w:pPr>
      <w:r>
        <w:t>8. Monthly Sales Trend</w:t>
      </w:r>
    </w:p>
    <w:p>
      <w:r>
        <w:t>Monthly sales varied throughout the year. The highest monthly sales occurred in 2025-01, reaching ₹1,999,394.09. The lowest monthly sales occurred in 2025-06, at ₹826,019.59.</w:t>
      </w:r>
    </w:p>
    <w:p>
      <w:pPr>
        <w:pStyle w:val="Heading1"/>
      </w:pPr>
      <w:r>
        <w:t>9. Payment Method Analysis</w:t>
      </w:r>
    </w:p>
    <w:p>
      <w:r>
        <w:t>UPI generated the highest sales among payment methods. The payment method with the lowest sales contribution was Net Banking.</w:t>
      </w:r>
    </w:p>
    <w:p>
      <w:pPr>
        <w:pStyle w:val="Heading1"/>
      </w:pPr>
      <w:r>
        <w:t>10. Relationship Analysis</w:t>
      </w:r>
    </w:p>
    <w:p>
      <w:r>
        <w:t>Correlation was used to examine linear relationships between numerical variables. The correlation matrix below was calculated using Pandas.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Variable</w:t>
            </w:r>
          </w:p>
        </w:tc>
        <w:tc>
          <w:tcPr>
            <w:tcW w:type="dxa" w:w="2016"/>
          </w:tcPr>
          <w:p>
            <w:r>
              <w:t>Quantity</w:t>
            </w:r>
          </w:p>
        </w:tc>
        <w:tc>
          <w:tcPr>
            <w:tcW w:type="dxa" w:w="2016"/>
          </w:tcPr>
          <w:p>
            <w:r>
              <w:t>Unit Price</w:t>
            </w:r>
          </w:p>
        </w:tc>
        <w:tc>
          <w:tcPr>
            <w:tcW w:type="dxa" w:w="2016"/>
          </w:tcPr>
          <w:p>
            <w:r>
              <w:t>Discount</w:t>
            </w:r>
          </w:p>
        </w:tc>
        <w:tc>
          <w:tcPr>
            <w:tcW w:type="dxa" w:w="2016"/>
          </w:tcPr>
          <w:p>
            <w:r>
              <w:t>Sales</w:t>
            </w:r>
          </w:p>
        </w:tc>
      </w:tr>
      <w:tr>
        <w:tc>
          <w:tcPr>
            <w:tcW w:type="dxa" w:w="2016"/>
          </w:tcPr>
          <w:p>
            <w:r>
              <w:t>Quantity</w:t>
            </w:r>
          </w:p>
        </w:tc>
        <w:tc>
          <w:tcPr>
            <w:tcW w:type="dxa" w:w="2016"/>
          </w:tcPr>
          <w:p>
            <w:r>
              <w:t>1.00</w:t>
            </w:r>
          </w:p>
        </w:tc>
        <w:tc>
          <w:tcPr>
            <w:tcW w:type="dxa" w:w="2016"/>
          </w:tcPr>
          <w:p>
            <w:r>
              <w:t>-0.03</w:t>
            </w:r>
          </w:p>
        </w:tc>
        <w:tc>
          <w:tcPr>
            <w:tcW w:type="dxa" w:w="2016"/>
          </w:tcPr>
          <w:p>
            <w:r>
              <w:t>-0.08</w:t>
            </w:r>
          </w:p>
        </w:tc>
        <w:tc>
          <w:tcPr>
            <w:tcW w:type="dxa" w:w="2016"/>
          </w:tcPr>
          <w:p>
            <w:r>
              <w:t>0.28</w:t>
            </w:r>
          </w:p>
        </w:tc>
      </w:tr>
      <w:tr>
        <w:tc>
          <w:tcPr>
            <w:tcW w:type="dxa" w:w="2016"/>
          </w:tcPr>
          <w:p>
            <w:r>
              <w:t>Unit_Price</w:t>
            </w:r>
          </w:p>
        </w:tc>
        <w:tc>
          <w:tcPr>
            <w:tcW w:type="dxa" w:w="2016"/>
          </w:tcPr>
          <w:p>
            <w:r>
              <w:t>-0.03</w:t>
            </w:r>
          </w:p>
        </w:tc>
        <w:tc>
          <w:tcPr>
            <w:tcW w:type="dxa" w:w="2016"/>
          </w:tcPr>
          <w:p>
            <w:r>
              <w:t>1.00</w:t>
            </w:r>
          </w:p>
        </w:tc>
        <w:tc>
          <w:tcPr>
            <w:tcW w:type="dxa" w:w="2016"/>
          </w:tcPr>
          <w:p>
            <w:r>
              <w:t>-0.03</w:t>
            </w:r>
          </w:p>
        </w:tc>
        <w:tc>
          <w:tcPr>
            <w:tcW w:type="dxa" w:w="2016"/>
          </w:tcPr>
          <w:p>
            <w:r>
              <w:t>0.85</w:t>
            </w:r>
          </w:p>
        </w:tc>
      </w:tr>
      <w:tr>
        <w:tc>
          <w:tcPr>
            <w:tcW w:type="dxa" w:w="2016"/>
          </w:tcPr>
          <w:p>
            <w:r>
              <w:t>Discount_Percent</w:t>
            </w:r>
          </w:p>
        </w:tc>
        <w:tc>
          <w:tcPr>
            <w:tcW w:type="dxa" w:w="2016"/>
          </w:tcPr>
          <w:p>
            <w:r>
              <w:t>-0.08</w:t>
            </w:r>
          </w:p>
        </w:tc>
        <w:tc>
          <w:tcPr>
            <w:tcW w:type="dxa" w:w="2016"/>
          </w:tcPr>
          <w:p>
            <w:r>
              <w:t>-0.03</w:t>
            </w:r>
          </w:p>
        </w:tc>
        <w:tc>
          <w:tcPr>
            <w:tcW w:type="dxa" w:w="2016"/>
          </w:tcPr>
          <w:p>
            <w:r>
              <w:t>1.00</w:t>
            </w:r>
          </w:p>
        </w:tc>
        <w:tc>
          <w:tcPr>
            <w:tcW w:type="dxa" w:w="2016"/>
          </w:tcPr>
          <w:p>
            <w:r>
              <w:t>-0.10</w:t>
            </w:r>
          </w:p>
        </w:tc>
      </w:tr>
      <w:tr>
        <w:tc>
          <w:tcPr>
            <w:tcW w:type="dxa" w:w="2016"/>
          </w:tcPr>
          <w:p>
            <w:r>
              <w:t>Sales</w:t>
            </w:r>
          </w:p>
        </w:tc>
        <w:tc>
          <w:tcPr>
            <w:tcW w:type="dxa" w:w="2016"/>
          </w:tcPr>
          <w:p>
            <w:r>
              <w:t>0.28</w:t>
            </w:r>
          </w:p>
        </w:tc>
        <w:tc>
          <w:tcPr>
            <w:tcW w:type="dxa" w:w="2016"/>
          </w:tcPr>
          <w:p>
            <w:r>
              <w:t>0.85</w:t>
            </w:r>
          </w:p>
        </w:tc>
        <w:tc>
          <w:tcPr>
            <w:tcW w:type="dxa" w:w="2016"/>
          </w:tcPr>
          <w:p>
            <w:r>
              <w:t>-0.10</w:t>
            </w:r>
          </w:p>
        </w:tc>
        <w:tc>
          <w:tcPr>
            <w:tcW w:type="dxa" w:w="2016"/>
          </w:tcPr>
          <w:p>
            <w:r>
              <w:t>1.00</w:t>
            </w:r>
          </w:p>
        </w:tc>
      </w:tr>
    </w:tbl>
    <w:p>
      <w:r>
        <w:t>The strongest numerical relationship with Sales in this dataset was observed with Unit_Price, based on absolute Pearson correlation.</w:t>
      </w:r>
    </w:p>
    <w:p>
      <w:pPr>
        <w:pStyle w:val="Heading1"/>
      </w:pPr>
      <w:r>
        <w:t>11. Outlier Detection</w:t>
      </w:r>
    </w:p>
    <w:p>
      <w:r>
        <w:t>Using the IQR method, the first quartile (Q1) of Sales was ₹2,227.87 and the third quartile (Q3) was ₹17,386.97. The resulting IQR was ₹15,159.10. Sales values above ₹40,125.61 or below ₹-20,510.77 were classified as outliers. The analysis identified 120 potential sales outlier records.</w:t>
      </w:r>
    </w:p>
    <w:p>
      <w:r>
        <w:t>These observations should not automatically be removed. High-value orders may represent legitimate bulk purchases or premium products and should be investigated before any business decision.</w:t>
      </w:r>
    </w:p>
    <w:p>
      <w:pPr>
        <w:pStyle w:val="Heading1"/>
      </w:pPr>
      <w:r>
        <w:t>12. Key Business Findings</w:t>
      </w:r>
    </w:p>
    <w:p>
      <w:pPr>
        <w:pStyle w:val="ListBullet"/>
      </w:pPr>
      <w:r>
        <w:t>Electronics was the largest contributor to total sales in this dataset.</w:t>
      </w:r>
    </w:p>
    <w:p>
      <w:pPr>
        <w:pStyle w:val="ListBullet"/>
      </w:pPr>
      <w:r>
        <w:t>West generated the highest regional sales total.</w:t>
      </w:r>
    </w:p>
    <w:p>
      <w:pPr>
        <w:pStyle w:val="ListBullet"/>
      </w:pPr>
      <w:r>
        <w:t>The highest-sales month was 2025-01, indicating a period of stronger demand.</w:t>
      </w:r>
    </w:p>
    <w:p>
      <w:pPr>
        <w:pStyle w:val="ListBullet"/>
      </w:pPr>
      <w:r>
        <w:t>The average order value was ₹16,547.54, while the median was ₹4,783.20.</w:t>
      </w:r>
    </w:p>
    <w:p>
      <w:pPr>
        <w:pStyle w:val="ListBullet"/>
      </w:pPr>
      <w:r>
        <w:t>The overall order return rate was 7.80%.</w:t>
      </w:r>
    </w:p>
    <w:p>
      <w:pPr>
        <w:pStyle w:val="ListBullet"/>
      </w:pPr>
      <w:r>
        <w:t>120 sales records were flagged as potential outliers using the IQR method.</w:t>
      </w:r>
    </w:p>
    <w:p>
      <w:pPr>
        <w:pStyle w:val="ListBullet"/>
      </w:pPr>
      <w:r>
        <w:t>The relationship analysis can help identify which numeric factors are most closely associated with sales value.</w:t>
      </w:r>
    </w:p>
    <w:p>
      <w:pPr>
        <w:pStyle w:val="Heading1"/>
      </w:pPr>
      <w:r>
        <w:t>13. Conclusion</w:t>
      </w:r>
    </w:p>
    <w:p>
      <w:r>
        <w:t>The EDA provides a structured view of e-commerce performance across products, categories, regions, customers, payment methods, and time. Descriptive statistics and grouped analysis highlight where sales are concentrated, while correlation and IQR-based outlier detection provide additional insight into numerical relationships and unusual transactions. The cleaned and structured dataset is suitable for the next stage of analysis or visualization.</w:t>
      </w:r>
    </w:p>
    <w:p>
      <w:pPr>
        <w:pStyle w:val="Heading1"/>
      </w:pPr>
      <w:r>
        <w:t>14. Tools and Technologies</w:t>
      </w:r>
    </w:p>
    <w:p>
      <w:r>
        <w:t>Python, Pandas, NumPy, Matplotlib/Seaborn (for optional visualizations), and Microsoft Word.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