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sz w:val="72"/>
          <w:szCs w:val="72"/>
        </w:rPr>
        <w:t xml:space="preserve">☕</w:t>
      </w:r>
    </w:p>
    <w:p>
      <w:pPr>
        <w:spacing w:after="200" w:before="300"/>
        <w:jc w:val="center"/>
      </w:pPr>
      <w:r>
        <w:rPr>
          <w:b/>
          <w:bCs/>
          <w:color w:val="1F3864"/>
          <w:sz w:val="40"/>
          <w:szCs w:val="40"/>
        </w:rPr>
        <w:t xml:space="preserve">Product Optimization &amp; Revenue Contribution Analysis</w:t>
      </w:r>
    </w:p>
    <w:p>
      <w:pPr>
        <w:spacing w:after="600"/>
        <w:jc w:val="center"/>
      </w:pPr>
      <w:r>
        <w:rPr>
          <w:i/>
          <w:iCs/>
          <w:color w:val="C55A11"/>
          <w:sz w:val="28"/>
          <w:szCs w:val="28"/>
        </w:rPr>
        <w:t xml:space="preserve">for Afficionado Coffee Roasters</w:t>
      </w:r>
    </w:p>
    <w:p>
      <w:pPr>
        <w:jc w:val="center"/>
      </w:pPr>
      <w:r>
        <w:rPr>
          <w:sz w:val="22"/>
          <w:szCs w:val="22"/>
        </w:rPr>
        <w:t xml:space="preserve">Research Paper — EDA, Insights &amp; Recommendations</w:t>
      </w:r>
    </w:p>
    <w:p>
      <w:pPr>
        <w:spacing w:before="800"/>
        <w:jc w:val="center"/>
      </w:pPr>
      <w:r>
        <w:rPr>
          <w:color w:val="555555"/>
          <w:sz w:val="20"/>
          <w:szCs w:val="20"/>
        </w:rPr>
        <w:t xml:space="preserve">Dataset: Transaction-level sales data, FY 2025</w:t>
      </w:r>
    </w:p>
    <w:p>
      <w:pPr>
        <w:spacing w:before="400"/>
        <w:jc w:val="center"/>
      </w:pPr>
      <w:r>
        <w:rPr>
          <w:b/>
          <w:bCs/>
          <w:color w:val="1F3864"/>
          <w:sz w:val="22"/>
          <w:szCs w:val="22"/>
        </w:rPr>
        <w:t xml:space="preserve">Submitted by: Charu Yadav</w:t>
      </w:r>
    </w:p>
    <w:p>
      <w:r>
        <w:br w:type="page"/>
      </w:r>
    </w:p>
    <w:p>
      <w:pPr>
        <w:pStyle w:val="Heading1"/>
        <w:spacing w:after="200" w:before="400"/>
      </w:pPr>
      <w:r>
        <w:t xml:space="preserve">1. Introduction &amp; Background</w:t>
      </w:r>
    </w:p>
    <w:p>
      <w:pPr>
        <w:spacing w:after="160"/>
      </w:pPr>
      <w:r>
        <w:t xml:space="preserve">Retail success in a specialty food and beverage business depends on understanding three core questions: which products customers prefer, which products generate the most revenue, and how revenue is distributed across the menu. Without structured analytics, decisions about which items to promote, simplify, or discontinue are often made on intuition rather than evidence — a pattern that risks two costly outcomes: keeping high-priced products with low sales frequency on the menu, and running an overcrowded menu that slows service and confuses customers.</w:t>
      </w:r>
    </w:p>
    <w:p>
      <w:pPr>
        <w:spacing w:after="160"/>
      </w:pPr>
      <w:r>
        <w:t xml:space="preserve">Afficionado Coffee Roasters records transaction-level sales data across its stores, but historically has lacked clear visibility into product popularity versus profitability, and into how dependent the business is on a small number of core categories. This project addresses that gap.</w:t>
      </w:r>
    </w:p>
    <w:p>
      <w:pPr>
        <w:pStyle w:val="Heading2"/>
        <w:spacing w:after="150" w:before="300"/>
      </w:pPr>
      <w:r>
        <w:t xml:space="preserve">1.1 Problem Statement</w:t>
      </w:r>
    </w:p>
    <w:p>
      <w:pPr>
        <w:spacing w:after="160"/>
      </w:pPr>
      <w:r>
        <w:t xml:space="preserve">Although transaction-level product data is available, Afficionado Coffee Roasters lacks clear visibility into product popularity versus profitability, and category-level revenue dependency insights. Without structured product analytics, menu decisions are often intuition-driven, leading to inefficiencies and missed revenue opportunities.</w:t>
      </w:r>
    </w:p>
    <w:p>
      <w:pPr>
        <w:pStyle w:val="Heading2"/>
        <w:spacing w:after="150" w:before="300"/>
      </w:pPr>
      <w:r>
        <w:t xml:space="preserve">1.2 Objectives</w:t>
      </w:r>
    </w:p>
    <w:p>
      <w:pPr>
        <w:spacing w:after="160"/>
      </w:pPr>
      <w:r>
        <w:rPr>
          <w:b/>
          <w:bCs/>
        </w:rPr>
        <w:t xml:space="preserve">Primary objectives:</w:t>
      </w:r>
    </w:p>
    <w:p>
      <w:pPr>
        <w:pStyle w:val="ListParagraph"/>
        <w:numPr>
          <w:ilvl w:val="0"/>
          <w:numId w:val="2"/>
        </w:numPr>
        <w:spacing w:after="80"/>
      </w:pPr>
      <w:r>
        <w:t xml:space="preserve">Identify top-selling and least-selling products</w:t>
      </w:r>
    </w:p>
    <w:p>
      <w:pPr>
        <w:pStyle w:val="ListParagraph"/>
        <w:numPr>
          <w:ilvl w:val="0"/>
          <w:numId w:val="2"/>
        </w:numPr>
        <w:spacing w:after="80"/>
      </w:pPr>
      <w:r>
        <w:t xml:space="preserve">Quantify revenue contribution by product and category</w:t>
      </w:r>
    </w:p>
    <w:p>
      <w:pPr>
        <w:pStyle w:val="ListParagraph"/>
        <w:numPr>
          <w:ilvl w:val="0"/>
          <w:numId w:val="2"/>
        </w:numPr>
        <w:spacing w:after="80"/>
      </w:pPr>
      <w:r>
        <w:t xml:space="preserve">Measure revenue concentration across the menu</w:t>
      </w:r>
    </w:p>
    <w:p>
      <w:pPr>
        <w:spacing w:after="160"/>
      </w:pPr>
      <w:r>
        <w:rPr>
          <w:b/>
          <w:bCs/>
        </w:rPr>
        <w:t xml:space="preserve">Secondary objectives:</w:t>
      </w:r>
    </w:p>
    <w:p>
      <w:pPr>
        <w:pStyle w:val="ListParagraph"/>
        <w:numPr>
          <w:ilvl w:val="0"/>
          <w:numId w:val="2"/>
        </w:numPr>
        <w:spacing w:after="80"/>
      </w:pPr>
      <w:r>
        <w:t xml:space="preserve">Support menu simplification and optimization</w:t>
      </w:r>
    </w:p>
    <w:p>
      <w:pPr>
        <w:pStyle w:val="ListParagraph"/>
        <w:numPr>
          <w:ilvl w:val="0"/>
          <w:numId w:val="2"/>
        </w:numPr>
        <w:spacing w:after="80"/>
      </w:pPr>
      <w:r>
        <w:t xml:space="preserve">Identify high-impact "hero" products</w:t>
      </w:r>
    </w:p>
    <w:p>
      <w:pPr>
        <w:pStyle w:val="ListParagraph"/>
        <w:numPr>
          <w:ilvl w:val="0"/>
          <w:numId w:val="2"/>
        </w:numPr>
        <w:spacing w:after="80"/>
      </w:pPr>
      <w:r>
        <w:t xml:space="preserve">Highlight low-performing products for review or redesign</w:t>
      </w:r>
    </w:p>
    <w:p>
      <w:pPr>
        <w:pStyle w:val="Heading1"/>
        <w:spacing w:after="200" w:before="400"/>
      </w:pPr>
      <w:r>
        <w:t xml:space="preserve">2. Dataset Description</w:t>
      </w:r>
    </w:p>
    <w:p>
      <w:pPr>
        <w:spacing w:after="160"/>
      </w:pPr>
      <w:r>
        <w:t xml:space="preserve">The dataset consists of 149,116 individual sales transactions recorded across FY 2025, with 11 fields per transaction. Data validation confirmed the dataset is complete and clean: zero missing values across all columns, zero duplicate transaction IDs, and zero records with non-positive quantity or price.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000"/>
        <w:gridCol w:w="6740"/>
      </w:tblGrid>
      <w:tr>
        <w:trPr>
          <w:tblHeader/>
        </w:trPr>
        <w:tc>
          <w:tcPr>
            <w:tcW w:type="dxa" w:w="3000"/>
            <w:shd w:fill="1F3864" w:color="auto" w:val="clear"/>
          </w:tcPr>
          <w:p>
            <w:pPr>
              <w:jc w:val="left"/>
            </w:pPr>
            <w:r>
              <w:rPr>
                <w:b/>
                <w:bCs/>
                <w:color w:val="FFFFFF"/>
                <w:sz w:val="20"/>
                <w:szCs w:val="20"/>
              </w:rPr>
              <w:t xml:space="preserve">Column</w:t>
            </w:r>
          </w:p>
        </w:tc>
        <w:tc>
          <w:tcPr>
            <w:tcW w:type="dxa" w:w="6740"/>
            <w:shd w:fill="1F3864" w:color="auto" w:val="clear"/>
          </w:tcPr>
          <w:p>
            <w:pPr>
              <w:jc w:val="left"/>
            </w:pPr>
            <w:r>
              <w:rPr>
                <w:b/>
                <w:bCs/>
                <w:color w:val="FFFFFF"/>
                <w:sz w:val="20"/>
                <w:szCs w:val="20"/>
              </w:rPr>
              <w:t xml:space="preserve">Description</w:t>
            </w:r>
          </w:p>
        </w:tc>
      </w:tr>
      <w:tr>
        <w:tc>
          <w:tcPr>
            <w:tcW w:type="dxa" w:w="3000"/>
          </w:tcPr>
          <w:p>
            <w:pPr>
              <w:jc w:val="left"/>
            </w:pPr>
            <w:r>
              <w:rPr>
                <w:b w:val="false"/>
                <w:bCs w:val="false"/>
                <w:color w:val="000000"/>
                <w:sz w:val="20"/>
                <w:szCs w:val="20"/>
              </w:rPr>
              <w:t xml:space="preserve">transaction_id</w:t>
            </w:r>
          </w:p>
        </w:tc>
        <w:tc>
          <w:tcPr>
            <w:tcW w:type="dxa" w:w="6740"/>
          </w:tcPr>
          <w:p>
            <w:pPr>
              <w:jc w:val="left"/>
            </w:pPr>
            <w:r>
              <w:rPr>
                <w:b w:val="false"/>
                <w:bCs w:val="false"/>
                <w:color w:val="000000"/>
                <w:sz w:val="20"/>
                <w:szCs w:val="20"/>
              </w:rPr>
              <w:t xml:space="preserve">Unique identifier per transaction</w:t>
            </w:r>
          </w:p>
        </w:tc>
      </w:tr>
      <w:tr>
        <w:tc>
          <w:tcPr>
            <w:tcW w:type="dxa" w:w="3000"/>
          </w:tcPr>
          <w:p>
            <w:pPr>
              <w:jc w:val="left"/>
            </w:pPr>
            <w:r>
              <w:rPr>
                <w:b w:val="false"/>
                <w:bCs w:val="false"/>
                <w:color w:val="000000"/>
                <w:sz w:val="20"/>
                <w:szCs w:val="20"/>
              </w:rPr>
              <w:t xml:space="preserve">year</w:t>
            </w:r>
          </w:p>
        </w:tc>
        <w:tc>
          <w:tcPr>
            <w:tcW w:type="dxa" w:w="6740"/>
          </w:tcPr>
          <w:p>
            <w:pPr>
              <w:jc w:val="left"/>
            </w:pPr>
            <w:r>
              <w:rPr>
                <w:b w:val="false"/>
                <w:bCs w:val="false"/>
                <w:color w:val="000000"/>
                <w:sz w:val="20"/>
                <w:szCs w:val="20"/>
              </w:rPr>
              <w:t xml:space="preserve">Transaction year (2025)</w:t>
            </w:r>
          </w:p>
        </w:tc>
      </w:tr>
      <w:tr>
        <w:tc>
          <w:tcPr>
            <w:tcW w:type="dxa" w:w="3000"/>
          </w:tcPr>
          <w:p>
            <w:pPr>
              <w:jc w:val="left"/>
            </w:pPr>
            <w:r>
              <w:rPr>
                <w:b w:val="false"/>
                <w:bCs w:val="false"/>
                <w:color w:val="000000"/>
                <w:sz w:val="20"/>
                <w:szCs w:val="20"/>
              </w:rPr>
              <w:t xml:space="preserve">transaction_time</w:t>
            </w:r>
          </w:p>
        </w:tc>
        <w:tc>
          <w:tcPr>
            <w:tcW w:type="dxa" w:w="6740"/>
          </w:tcPr>
          <w:p>
            <w:pPr>
              <w:jc w:val="left"/>
            </w:pPr>
            <w:r>
              <w:rPr>
                <w:b w:val="false"/>
                <w:bCs w:val="false"/>
                <w:color w:val="000000"/>
                <w:sz w:val="20"/>
                <w:szCs w:val="20"/>
              </w:rPr>
              <w:t xml:space="preserve">Time of transaction (HH:MM:SS)</w:t>
            </w:r>
          </w:p>
        </w:tc>
      </w:tr>
      <w:tr>
        <w:tc>
          <w:tcPr>
            <w:tcW w:type="dxa" w:w="3000"/>
          </w:tcPr>
          <w:p>
            <w:pPr>
              <w:jc w:val="left"/>
            </w:pPr>
            <w:r>
              <w:rPr>
                <w:b w:val="false"/>
                <w:bCs w:val="false"/>
                <w:color w:val="000000"/>
                <w:sz w:val="20"/>
                <w:szCs w:val="20"/>
              </w:rPr>
              <w:t xml:space="preserve">transaction_qty</w:t>
            </w:r>
          </w:p>
        </w:tc>
        <w:tc>
          <w:tcPr>
            <w:tcW w:type="dxa" w:w="6740"/>
          </w:tcPr>
          <w:p>
            <w:pPr>
              <w:jc w:val="left"/>
            </w:pPr>
            <w:r>
              <w:rPr>
                <w:b w:val="false"/>
                <w:bCs w:val="false"/>
                <w:color w:val="000000"/>
                <w:sz w:val="20"/>
                <w:szCs w:val="20"/>
              </w:rPr>
              <w:t xml:space="preserve">Quantity purchased</w:t>
            </w:r>
          </w:p>
        </w:tc>
      </w:tr>
      <w:tr>
        <w:tc>
          <w:tcPr>
            <w:tcW w:type="dxa" w:w="3000"/>
          </w:tcPr>
          <w:p>
            <w:pPr>
              <w:jc w:val="left"/>
            </w:pPr>
            <w:r>
              <w:rPr>
                <w:b w:val="false"/>
                <w:bCs w:val="false"/>
                <w:color w:val="000000"/>
                <w:sz w:val="20"/>
                <w:szCs w:val="20"/>
              </w:rPr>
              <w:t xml:space="preserve">unit_price</w:t>
            </w:r>
          </w:p>
        </w:tc>
        <w:tc>
          <w:tcPr>
            <w:tcW w:type="dxa" w:w="6740"/>
          </w:tcPr>
          <w:p>
            <w:pPr>
              <w:jc w:val="left"/>
            </w:pPr>
            <w:r>
              <w:rPr>
                <w:b w:val="false"/>
                <w:bCs w:val="false"/>
                <w:color w:val="000000"/>
                <w:sz w:val="20"/>
                <w:szCs w:val="20"/>
              </w:rPr>
              <w:t xml:space="preserve">Price per unit</w:t>
            </w:r>
          </w:p>
        </w:tc>
      </w:tr>
      <w:tr>
        <w:tc>
          <w:tcPr>
            <w:tcW w:type="dxa" w:w="3000"/>
          </w:tcPr>
          <w:p>
            <w:pPr>
              <w:jc w:val="left"/>
            </w:pPr>
            <w:r>
              <w:rPr>
                <w:b w:val="false"/>
                <w:bCs w:val="false"/>
                <w:color w:val="000000"/>
                <w:sz w:val="20"/>
                <w:szCs w:val="20"/>
              </w:rPr>
              <w:t xml:space="preserve">store_id</w:t>
            </w:r>
          </w:p>
        </w:tc>
        <w:tc>
          <w:tcPr>
            <w:tcW w:type="dxa" w:w="6740"/>
          </w:tcPr>
          <w:p>
            <w:pPr>
              <w:jc w:val="left"/>
            </w:pPr>
            <w:r>
              <w:rPr>
                <w:b w:val="false"/>
                <w:bCs w:val="false"/>
                <w:color w:val="000000"/>
                <w:sz w:val="20"/>
                <w:szCs w:val="20"/>
              </w:rPr>
              <w:t xml:space="preserve">Store identifier</w:t>
            </w:r>
          </w:p>
        </w:tc>
      </w:tr>
      <w:tr>
        <w:tc>
          <w:tcPr>
            <w:tcW w:type="dxa" w:w="3000"/>
          </w:tcPr>
          <w:p>
            <w:pPr>
              <w:jc w:val="left"/>
            </w:pPr>
            <w:r>
              <w:rPr>
                <w:b w:val="false"/>
                <w:bCs w:val="false"/>
                <w:color w:val="000000"/>
                <w:sz w:val="20"/>
                <w:szCs w:val="20"/>
              </w:rPr>
              <w:t xml:space="preserve">store_location</w:t>
            </w:r>
          </w:p>
        </w:tc>
        <w:tc>
          <w:tcPr>
            <w:tcW w:type="dxa" w:w="6740"/>
          </w:tcPr>
          <w:p>
            <w:pPr>
              <w:jc w:val="left"/>
            </w:pPr>
            <w:r>
              <w:rPr>
                <w:b w:val="false"/>
                <w:bCs w:val="false"/>
                <w:color w:val="000000"/>
                <w:sz w:val="20"/>
                <w:szCs w:val="20"/>
              </w:rPr>
              <w:t xml:space="preserve">Physical store location</w:t>
            </w:r>
          </w:p>
        </w:tc>
      </w:tr>
      <w:tr>
        <w:tc>
          <w:tcPr>
            <w:tcW w:type="dxa" w:w="3000"/>
          </w:tcPr>
          <w:p>
            <w:pPr>
              <w:jc w:val="left"/>
            </w:pPr>
            <w:r>
              <w:rPr>
                <w:b w:val="false"/>
                <w:bCs w:val="false"/>
                <w:color w:val="000000"/>
                <w:sz w:val="20"/>
                <w:szCs w:val="20"/>
              </w:rPr>
              <w:t xml:space="preserve">product_id</w:t>
            </w:r>
          </w:p>
        </w:tc>
        <w:tc>
          <w:tcPr>
            <w:tcW w:type="dxa" w:w="6740"/>
          </w:tcPr>
          <w:p>
            <w:pPr>
              <w:jc w:val="left"/>
            </w:pPr>
            <w:r>
              <w:rPr>
                <w:b w:val="false"/>
                <w:bCs w:val="false"/>
                <w:color w:val="000000"/>
                <w:sz w:val="20"/>
                <w:szCs w:val="20"/>
              </w:rPr>
              <w:t xml:space="preserve">Unique identifier for each product</w:t>
            </w:r>
          </w:p>
        </w:tc>
      </w:tr>
      <w:tr>
        <w:tc>
          <w:tcPr>
            <w:tcW w:type="dxa" w:w="3000"/>
          </w:tcPr>
          <w:p>
            <w:pPr>
              <w:jc w:val="left"/>
            </w:pPr>
            <w:r>
              <w:rPr>
                <w:b w:val="false"/>
                <w:bCs w:val="false"/>
                <w:color w:val="000000"/>
                <w:sz w:val="20"/>
                <w:szCs w:val="20"/>
              </w:rPr>
              <w:t xml:space="preserve">product_category</w:t>
            </w:r>
          </w:p>
        </w:tc>
        <w:tc>
          <w:tcPr>
            <w:tcW w:type="dxa" w:w="6740"/>
          </w:tcPr>
          <w:p>
            <w:pPr>
              <w:jc w:val="left"/>
            </w:pPr>
            <w:r>
              <w:rPr>
                <w:b w:val="false"/>
                <w:bCs w:val="false"/>
                <w:color w:val="000000"/>
                <w:sz w:val="20"/>
                <w:szCs w:val="20"/>
              </w:rPr>
              <w:t xml:space="preserve">Broad product group (e.g. Coffee, Tea)</w:t>
            </w:r>
          </w:p>
        </w:tc>
      </w:tr>
      <w:tr>
        <w:tc>
          <w:tcPr>
            <w:tcW w:type="dxa" w:w="3000"/>
          </w:tcPr>
          <w:p>
            <w:pPr>
              <w:jc w:val="left"/>
            </w:pPr>
            <w:r>
              <w:rPr>
                <w:b w:val="false"/>
                <w:bCs w:val="false"/>
                <w:color w:val="000000"/>
                <w:sz w:val="20"/>
                <w:szCs w:val="20"/>
              </w:rPr>
              <w:t xml:space="preserve">product_type</w:t>
            </w:r>
          </w:p>
        </w:tc>
        <w:tc>
          <w:tcPr>
            <w:tcW w:type="dxa" w:w="6740"/>
          </w:tcPr>
          <w:p>
            <w:pPr>
              <w:jc w:val="left"/>
            </w:pPr>
            <w:r>
              <w:rPr>
                <w:b w:val="false"/>
                <w:bCs w:val="false"/>
                <w:color w:val="000000"/>
                <w:sz w:val="20"/>
                <w:szCs w:val="20"/>
              </w:rPr>
              <w:t xml:space="preserve">Product variant within the category</w:t>
            </w:r>
          </w:p>
        </w:tc>
      </w:tr>
      <w:tr>
        <w:tc>
          <w:tcPr>
            <w:tcW w:type="dxa" w:w="3000"/>
          </w:tcPr>
          <w:p>
            <w:pPr>
              <w:jc w:val="left"/>
            </w:pPr>
            <w:r>
              <w:rPr>
                <w:b w:val="false"/>
                <w:bCs w:val="false"/>
                <w:color w:val="000000"/>
                <w:sz w:val="20"/>
                <w:szCs w:val="20"/>
              </w:rPr>
              <w:t xml:space="preserve">product_detail</w:t>
            </w:r>
          </w:p>
        </w:tc>
        <w:tc>
          <w:tcPr>
            <w:tcW w:type="dxa" w:w="6740"/>
          </w:tcPr>
          <w:p>
            <w:pPr>
              <w:jc w:val="left"/>
            </w:pPr>
            <w:r>
              <w:rPr>
                <w:b w:val="false"/>
                <w:bCs w:val="false"/>
                <w:color w:val="000000"/>
                <w:sz w:val="20"/>
                <w:szCs w:val="20"/>
              </w:rPr>
              <w:t xml:space="preserve">Detailed attributes such as flavor or blend</w:t>
            </w:r>
          </w:p>
        </w:tc>
      </w:tr>
    </w:tbl>
    <w:p>
      <w:pPr>
        <w:spacing w:after="160"/>
      </w:pPr>
      <w:r>
        <w:t xml:space="preserve"/>
      </w:r>
    </w:p>
    <w:p>
      <w:pPr>
        <w:spacing w:after="160"/>
      </w:pPr>
      <w:r>
        <w:rPr>
          <w:b/>
          <w:bCs/>
        </w:rPr>
        <w:t xml:space="preserve">Dataset scale at a glance:</w:t>
      </w:r>
    </w:p>
    <w:p>
      <w:pPr>
        <w:pStyle w:val="ListParagraph"/>
        <w:numPr>
          <w:ilvl w:val="0"/>
          <w:numId w:val="2"/>
        </w:numPr>
        <w:spacing w:after="80"/>
      </w:pPr>
      <w:r>
        <w:t xml:space="preserve">149,116 transactions</w:t>
      </w:r>
    </w:p>
    <w:p>
      <w:pPr>
        <w:pStyle w:val="ListParagraph"/>
        <w:numPr>
          <w:ilvl w:val="0"/>
          <w:numId w:val="2"/>
        </w:numPr>
        <w:spacing w:after="80"/>
      </w:pPr>
      <w:r>
        <w:t xml:space="preserve">29 distinct product types across 9 product categories</w:t>
      </w:r>
    </w:p>
    <w:p>
      <w:pPr>
        <w:pStyle w:val="ListParagraph"/>
        <w:numPr>
          <w:ilvl w:val="0"/>
          <w:numId w:val="2"/>
        </w:numPr>
        <w:spacing w:after="80"/>
      </w:pPr>
      <w:r>
        <w:t xml:space="preserve">Total revenue: ₹698,812.33</w:t>
      </w:r>
    </w:p>
    <w:p>
      <w:pPr>
        <w:pStyle w:val="Heading1"/>
        <w:spacing w:after="200" w:before="400"/>
      </w:pPr>
      <w:r>
        <w:t xml:space="preserve">3. Analytical Methodology</w:t>
      </w:r>
    </w:p>
    <w:p>
      <w:pPr>
        <w:spacing w:after="160"/>
      </w:pPr>
      <w:r>
        <w:t xml:space="preserve">The analysis followed six sequential stages:</w:t>
      </w:r>
    </w:p>
    <w:p>
      <w:pPr>
        <w:pStyle w:val="ListParagraph"/>
        <w:numPr>
          <w:ilvl w:val="0"/>
          <w:numId w:val="2"/>
        </w:numPr>
        <w:spacing w:after="80"/>
      </w:pPr>
      <w:r>
        <w:t xml:space="preserve">Data Ingestion &amp; Validation — loading transaction-level data and confirming there were no missing values, duplicate transactions, or invalid (zero/negative) quantities or prices.</w:t>
      </w:r>
    </w:p>
    <w:p>
      <w:pPr>
        <w:pStyle w:val="ListParagraph"/>
        <w:numPr>
          <w:ilvl w:val="0"/>
          <w:numId w:val="2"/>
        </w:numPr>
        <w:spacing w:after="80"/>
      </w:pPr>
      <w:r>
        <w:t xml:space="preserve">Revenue Computation — Revenue = transaction_qty × unit_price, computed per transaction and aggregated by product, product type, and product category.</w:t>
      </w:r>
    </w:p>
    <w:p>
      <w:pPr>
        <w:pStyle w:val="ListParagraph"/>
        <w:numPr>
          <w:ilvl w:val="0"/>
          <w:numId w:val="2"/>
        </w:numPr>
        <w:spacing w:after="80"/>
      </w:pPr>
      <w:r>
        <w:t xml:space="preserve">Product Popularity Analysis — total units sold per product type, ranked to identify top and bottom performers by volume.</w:t>
      </w:r>
    </w:p>
    <w:p>
      <w:pPr>
        <w:pStyle w:val="ListParagraph"/>
        <w:numPr>
          <w:ilvl w:val="0"/>
          <w:numId w:val="2"/>
        </w:numPr>
        <w:spacing w:after="80"/>
      </w:pPr>
      <w:r>
        <w:t xml:space="preserve">Revenue Contribution Analysis — total revenue and revenue share (%) per product type, with a comparison between volume rank and revenue rank to surface mismatches.</w:t>
      </w:r>
    </w:p>
    <w:p>
      <w:pPr>
        <w:pStyle w:val="ListParagraph"/>
        <w:numPr>
          <w:ilvl w:val="0"/>
          <w:numId w:val="2"/>
        </w:numPr>
        <w:spacing w:after="80"/>
      </w:pPr>
      <w:r>
        <w:t xml:space="preserve">Category &amp; Product-Type Performance — revenue share by category, and product-type contribution within each category, to assess dependency on core categories.</w:t>
      </w:r>
    </w:p>
    <w:p>
      <w:pPr>
        <w:pStyle w:val="ListParagraph"/>
        <w:numPr>
          <w:ilvl w:val="0"/>
          <w:numId w:val="2"/>
        </w:numPr>
        <w:spacing w:after="80"/>
      </w:pPr>
      <w:r>
        <w:t xml:space="preserve">Revenue Concentration &amp; Menu Balance — Pareto (80/20) analysis to identify revenue-anchor products versus long-tail products, and to evaluate menu diversification risk.</w:t>
      </w:r>
    </w:p>
    <w:p>
      <w:pPr>
        <w:pStyle w:val="Heading1"/>
        <w:spacing w:after="200" w:before="400"/>
      </w:pPr>
      <w:r>
        <w:t xml:space="preserve">4. EDA &amp; Findings</w:t>
      </w:r>
    </w:p>
    <w:p>
      <w:pPr>
        <w:pStyle w:val="Heading2"/>
        <w:spacing w:after="150" w:before="300"/>
      </w:pPr>
      <w:r>
        <w:t xml:space="preserve">4.1 Product Popularity — Top Products by Sales Volume</w:t>
      </w:r>
    </w:p>
    <w:p>
      <w:pPr>
        <w:spacing w:after="160"/>
      </w:pPr>
      <w:r>
        <w:t xml:space="preserve">Ranked by total units sold (top 10 of 29 product types):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00"/>
        <w:gridCol w:w="5540"/>
        <w:gridCol w:w="3000"/>
      </w:tblGrid>
      <w:tr>
        <w:trPr>
          <w:tblHeader/>
        </w:trPr>
        <w:tc>
          <w:tcPr>
            <w:tcW w:type="dxa" w:w="1200"/>
            <w:shd w:fill="1F3864" w:color="auto" w:val="clear"/>
          </w:tcPr>
          <w:p>
            <w:pPr>
              <w:jc w:val="left"/>
            </w:pPr>
            <w:r>
              <w:rPr>
                <w:b/>
                <w:bCs/>
                <w:color w:val="FFFFFF"/>
                <w:sz w:val="20"/>
                <w:szCs w:val="20"/>
              </w:rPr>
              <w:t xml:space="preserve">Rank</w:t>
            </w:r>
          </w:p>
        </w:tc>
        <w:tc>
          <w:tcPr>
            <w:tcW w:type="dxa" w:w="5540"/>
            <w:shd w:fill="1F3864" w:color="auto" w:val="clear"/>
          </w:tcPr>
          <w:p>
            <w:pPr>
              <w:jc w:val="left"/>
            </w:pPr>
            <w:r>
              <w:rPr>
                <w:b/>
                <w:bCs/>
                <w:color w:val="FFFFFF"/>
                <w:sz w:val="20"/>
                <w:szCs w:val="20"/>
              </w:rPr>
              <w:t xml:space="preserve">Product Type</w:t>
            </w:r>
          </w:p>
        </w:tc>
        <w:tc>
          <w:tcPr>
            <w:tcW w:type="dxa" w:w="3000"/>
            <w:shd w:fill="1F3864" w:color="auto" w:val="clear"/>
          </w:tcPr>
          <w:p>
            <w:pPr>
              <w:jc w:val="left"/>
            </w:pPr>
            <w:r>
              <w:rPr>
                <w:b/>
                <w:bCs/>
                <w:color w:val="FFFFFF"/>
                <w:sz w:val="20"/>
                <w:szCs w:val="20"/>
              </w:rPr>
              <w:t xml:space="preserve">Units Sold</w:t>
            </w:r>
          </w:p>
        </w:tc>
      </w:tr>
      <w:tr>
        <w:tc>
          <w:tcPr>
            <w:tcW w:type="dxa" w:w="1200"/>
          </w:tcPr>
          <w:p>
            <w:pPr>
              <w:jc w:val="left"/>
            </w:pPr>
            <w:r>
              <w:rPr>
                <w:b w:val="false"/>
                <w:bCs w:val="false"/>
                <w:color w:val="000000"/>
                <w:sz w:val="20"/>
                <w:szCs w:val="20"/>
              </w:rPr>
              <w:t xml:space="preserve">1</w:t>
            </w:r>
          </w:p>
        </w:tc>
        <w:tc>
          <w:tcPr>
            <w:tcW w:type="dxa" w:w="5540"/>
          </w:tcPr>
          <w:p>
            <w:pPr>
              <w:jc w:val="left"/>
            </w:pPr>
            <w:r>
              <w:rPr>
                <w:b w:val="false"/>
                <w:bCs w:val="false"/>
                <w:color w:val="000000"/>
                <w:sz w:val="20"/>
                <w:szCs w:val="20"/>
              </w:rPr>
              <w:t xml:space="preserve">Brewed Chai tea</w:t>
            </w:r>
          </w:p>
        </w:tc>
        <w:tc>
          <w:tcPr>
            <w:tcW w:type="dxa" w:w="3000"/>
          </w:tcPr>
          <w:p>
            <w:pPr>
              <w:jc w:val="left"/>
            </w:pPr>
            <w:r>
              <w:rPr>
                <w:b w:val="false"/>
                <w:bCs w:val="false"/>
                <w:color w:val="000000"/>
                <w:sz w:val="20"/>
                <w:szCs w:val="20"/>
              </w:rPr>
              <w:t xml:space="preserve">26,250</w:t>
            </w:r>
          </w:p>
        </w:tc>
      </w:tr>
      <w:tr>
        <w:tc>
          <w:tcPr>
            <w:tcW w:type="dxa" w:w="1200"/>
          </w:tcPr>
          <w:p>
            <w:pPr>
              <w:jc w:val="left"/>
            </w:pPr>
            <w:r>
              <w:rPr>
                <w:b w:val="false"/>
                <w:bCs w:val="false"/>
                <w:color w:val="000000"/>
                <w:sz w:val="20"/>
                <w:szCs w:val="20"/>
              </w:rPr>
              <w:t xml:space="preserve">2</w:t>
            </w:r>
          </w:p>
        </w:tc>
        <w:tc>
          <w:tcPr>
            <w:tcW w:type="dxa" w:w="5540"/>
          </w:tcPr>
          <w:p>
            <w:pPr>
              <w:jc w:val="left"/>
            </w:pPr>
            <w:r>
              <w:rPr>
                <w:b w:val="false"/>
                <w:bCs w:val="false"/>
                <w:color w:val="000000"/>
                <w:sz w:val="20"/>
                <w:szCs w:val="20"/>
              </w:rPr>
              <w:t xml:space="preserve">Gourmet brewed coffee</w:t>
            </w:r>
          </w:p>
        </w:tc>
        <w:tc>
          <w:tcPr>
            <w:tcW w:type="dxa" w:w="3000"/>
          </w:tcPr>
          <w:p>
            <w:pPr>
              <w:jc w:val="left"/>
            </w:pPr>
            <w:r>
              <w:rPr>
                <w:b w:val="false"/>
                <w:bCs w:val="false"/>
                <w:color w:val="000000"/>
                <w:sz w:val="20"/>
                <w:szCs w:val="20"/>
              </w:rPr>
              <w:t xml:space="preserve">25,973</w:t>
            </w:r>
          </w:p>
        </w:tc>
      </w:tr>
      <w:tr>
        <w:tc>
          <w:tcPr>
            <w:tcW w:type="dxa" w:w="1200"/>
          </w:tcPr>
          <w:p>
            <w:pPr>
              <w:jc w:val="left"/>
            </w:pPr>
            <w:r>
              <w:rPr>
                <w:b w:val="false"/>
                <w:bCs w:val="false"/>
                <w:color w:val="000000"/>
                <w:sz w:val="20"/>
                <w:szCs w:val="20"/>
              </w:rPr>
              <w:t xml:space="preserve">3</w:t>
            </w:r>
          </w:p>
        </w:tc>
        <w:tc>
          <w:tcPr>
            <w:tcW w:type="dxa" w:w="5540"/>
          </w:tcPr>
          <w:p>
            <w:pPr>
              <w:jc w:val="left"/>
            </w:pPr>
            <w:r>
              <w:rPr>
                <w:b w:val="false"/>
                <w:bCs w:val="false"/>
                <w:color w:val="000000"/>
                <w:sz w:val="20"/>
                <w:szCs w:val="20"/>
              </w:rPr>
              <w:t xml:space="preserve">Barista Espresso</w:t>
            </w:r>
          </w:p>
        </w:tc>
        <w:tc>
          <w:tcPr>
            <w:tcW w:type="dxa" w:w="3000"/>
          </w:tcPr>
          <w:p>
            <w:pPr>
              <w:jc w:val="left"/>
            </w:pPr>
            <w:r>
              <w:rPr>
                <w:b w:val="false"/>
                <w:bCs w:val="false"/>
                <w:color w:val="000000"/>
                <w:sz w:val="20"/>
                <w:szCs w:val="20"/>
              </w:rPr>
              <w:t xml:space="preserve">24,943</w:t>
            </w:r>
          </w:p>
        </w:tc>
      </w:tr>
      <w:tr>
        <w:tc>
          <w:tcPr>
            <w:tcW w:type="dxa" w:w="1200"/>
          </w:tcPr>
          <w:p>
            <w:pPr>
              <w:jc w:val="left"/>
            </w:pPr>
            <w:r>
              <w:rPr>
                <w:b w:val="false"/>
                <w:bCs w:val="false"/>
                <w:color w:val="000000"/>
                <w:sz w:val="20"/>
                <w:szCs w:val="20"/>
              </w:rPr>
              <w:t xml:space="preserve">4</w:t>
            </w:r>
          </w:p>
        </w:tc>
        <w:tc>
          <w:tcPr>
            <w:tcW w:type="dxa" w:w="5540"/>
          </w:tcPr>
          <w:p>
            <w:pPr>
              <w:jc w:val="left"/>
            </w:pPr>
            <w:r>
              <w:rPr>
                <w:b w:val="false"/>
                <w:bCs w:val="false"/>
                <w:color w:val="000000"/>
                <w:sz w:val="20"/>
                <w:szCs w:val="20"/>
              </w:rPr>
              <w:t xml:space="preserve">Brewed Black tea</w:t>
            </w:r>
          </w:p>
        </w:tc>
        <w:tc>
          <w:tcPr>
            <w:tcW w:type="dxa" w:w="3000"/>
          </w:tcPr>
          <w:p>
            <w:pPr>
              <w:jc w:val="left"/>
            </w:pPr>
            <w:r>
              <w:rPr>
                <w:b w:val="false"/>
                <w:bCs w:val="false"/>
                <w:color w:val="000000"/>
                <w:sz w:val="20"/>
                <w:szCs w:val="20"/>
              </w:rPr>
              <w:t xml:space="preserve">17,462</w:t>
            </w:r>
          </w:p>
        </w:tc>
      </w:tr>
      <w:tr>
        <w:tc>
          <w:tcPr>
            <w:tcW w:type="dxa" w:w="1200"/>
          </w:tcPr>
          <w:p>
            <w:pPr>
              <w:jc w:val="left"/>
            </w:pPr>
            <w:r>
              <w:rPr>
                <w:b w:val="false"/>
                <w:bCs w:val="false"/>
                <w:color w:val="000000"/>
                <w:sz w:val="20"/>
                <w:szCs w:val="20"/>
              </w:rPr>
              <w:t xml:space="preserve">5</w:t>
            </w:r>
          </w:p>
        </w:tc>
        <w:tc>
          <w:tcPr>
            <w:tcW w:type="dxa" w:w="5540"/>
          </w:tcPr>
          <w:p>
            <w:pPr>
              <w:jc w:val="left"/>
            </w:pPr>
            <w:r>
              <w:rPr>
                <w:b w:val="false"/>
                <w:bCs w:val="false"/>
                <w:color w:val="000000"/>
                <w:sz w:val="20"/>
                <w:szCs w:val="20"/>
              </w:rPr>
              <w:t xml:space="preserve">Hot chocolate</w:t>
            </w:r>
          </w:p>
        </w:tc>
        <w:tc>
          <w:tcPr>
            <w:tcW w:type="dxa" w:w="3000"/>
          </w:tcPr>
          <w:p>
            <w:pPr>
              <w:jc w:val="left"/>
            </w:pPr>
            <w:r>
              <w:rPr>
                <w:b w:val="false"/>
                <w:bCs w:val="false"/>
                <w:color w:val="000000"/>
                <w:sz w:val="20"/>
                <w:szCs w:val="20"/>
              </w:rPr>
              <w:t xml:space="preserve">17,457</w:t>
            </w:r>
          </w:p>
        </w:tc>
      </w:tr>
      <w:tr>
        <w:tc>
          <w:tcPr>
            <w:tcW w:type="dxa" w:w="1200"/>
          </w:tcPr>
          <w:p>
            <w:pPr>
              <w:jc w:val="left"/>
            </w:pPr>
            <w:r>
              <w:rPr>
                <w:b w:val="false"/>
                <w:bCs w:val="false"/>
                <w:color w:val="000000"/>
                <w:sz w:val="20"/>
                <w:szCs w:val="20"/>
              </w:rPr>
              <w:t xml:space="preserve">6</w:t>
            </w:r>
          </w:p>
        </w:tc>
        <w:tc>
          <w:tcPr>
            <w:tcW w:type="dxa" w:w="5540"/>
          </w:tcPr>
          <w:p>
            <w:pPr>
              <w:jc w:val="left"/>
            </w:pPr>
            <w:r>
              <w:rPr>
                <w:b w:val="false"/>
                <w:bCs w:val="false"/>
                <w:color w:val="000000"/>
                <w:sz w:val="20"/>
                <w:szCs w:val="20"/>
              </w:rPr>
              <w:t xml:space="preserve">Brewed herbal tea</w:t>
            </w:r>
          </w:p>
        </w:tc>
        <w:tc>
          <w:tcPr>
            <w:tcW w:type="dxa" w:w="3000"/>
          </w:tcPr>
          <w:p>
            <w:pPr>
              <w:jc w:val="left"/>
            </w:pPr>
            <w:r>
              <w:rPr>
                <w:b w:val="false"/>
                <w:bCs w:val="false"/>
                <w:color w:val="000000"/>
                <w:sz w:val="20"/>
                <w:szCs w:val="20"/>
              </w:rPr>
              <w:t xml:space="preserve">17,328</w:t>
            </w:r>
          </w:p>
        </w:tc>
      </w:tr>
      <w:tr>
        <w:tc>
          <w:tcPr>
            <w:tcW w:type="dxa" w:w="1200"/>
          </w:tcPr>
          <w:p>
            <w:pPr>
              <w:jc w:val="left"/>
            </w:pPr>
            <w:r>
              <w:rPr>
                <w:b w:val="false"/>
                <w:bCs w:val="false"/>
                <w:color w:val="000000"/>
                <w:sz w:val="20"/>
                <w:szCs w:val="20"/>
              </w:rPr>
              <w:t xml:space="preserve">7</w:t>
            </w:r>
          </w:p>
        </w:tc>
        <w:tc>
          <w:tcPr>
            <w:tcW w:type="dxa" w:w="5540"/>
          </w:tcPr>
          <w:p>
            <w:pPr>
              <w:jc w:val="left"/>
            </w:pPr>
            <w:r>
              <w:rPr>
                <w:b w:val="false"/>
                <w:bCs w:val="false"/>
                <w:color w:val="000000"/>
                <w:sz w:val="20"/>
                <w:szCs w:val="20"/>
              </w:rPr>
              <w:t xml:space="preserve">Organic brewed coffee</w:t>
            </w:r>
          </w:p>
        </w:tc>
        <w:tc>
          <w:tcPr>
            <w:tcW w:type="dxa" w:w="3000"/>
          </w:tcPr>
          <w:p>
            <w:pPr>
              <w:jc w:val="left"/>
            </w:pPr>
            <w:r>
              <w:rPr>
                <w:b w:val="false"/>
                <w:bCs w:val="false"/>
                <w:color w:val="000000"/>
                <w:sz w:val="20"/>
                <w:szCs w:val="20"/>
              </w:rPr>
              <w:t xml:space="preserve">13,012</w:t>
            </w:r>
          </w:p>
        </w:tc>
      </w:tr>
      <w:tr>
        <w:tc>
          <w:tcPr>
            <w:tcW w:type="dxa" w:w="1200"/>
          </w:tcPr>
          <w:p>
            <w:pPr>
              <w:jc w:val="left"/>
            </w:pPr>
            <w:r>
              <w:rPr>
                <w:b w:val="false"/>
                <w:bCs w:val="false"/>
                <w:color w:val="000000"/>
                <w:sz w:val="20"/>
                <w:szCs w:val="20"/>
              </w:rPr>
              <w:t xml:space="preserve">8</w:t>
            </w:r>
          </w:p>
        </w:tc>
        <w:tc>
          <w:tcPr>
            <w:tcW w:type="dxa" w:w="5540"/>
          </w:tcPr>
          <w:p>
            <w:pPr>
              <w:jc w:val="left"/>
            </w:pPr>
            <w:r>
              <w:rPr>
                <w:b w:val="false"/>
                <w:bCs w:val="false"/>
                <w:color w:val="000000"/>
                <w:sz w:val="20"/>
                <w:szCs w:val="20"/>
              </w:rPr>
              <w:t xml:space="preserve">Drip coffee</w:t>
            </w:r>
          </w:p>
        </w:tc>
        <w:tc>
          <w:tcPr>
            <w:tcW w:type="dxa" w:w="3000"/>
          </w:tcPr>
          <w:p>
            <w:pPr>
              <w:jc w:val="left"/>
            </w:pPr>
            <w:r>
              <w:rPr>
                <w:b w:val="false"/>
                <w:bCs w:val="false"/>
                <w:color w:val="000000"/>
                <w:sz w:val="20"/>
                <w:szCs w:val="20"/>
              </w:rPr>
              <w:t xml:space="preserve">12,891</w:t>
            </w:r>
          </w:p>
        </w:tc>
      </w:tr>
      <w:tr>
        <w:tc>
          <w:tcPr>
            <w:tcW w:type="dxa" w:w="1200"/>
          </w:tcPr>
          <w:p>
            <w:pPr>
              <w:jc w:val="left"/>
            </w:pPr>
            <w:r>
              <w:rPr>
                <w:b w:val="false"/>
                <w:bCs w:val="false"/>
                <w:color w:val="000000"/>
                <w:sz w:val="20"/>
                <w:szCs w:val="20"/>
              </w:rPr>
              <w:t xml:space="preserve">9</w:t>
            </w:r>
          </w:p>
        </w:tc>
        <w:tc>
          <w:tcPr>
            <w:tcW w:type="dxa" w:w="5540"/>
          </w:tcPr>
          <w:p>
            <w:pPr>
              <w:jc w:val="left"/>
            </w:pPr>
            <w:r>
              <w:rPr>
                <w:b w:val="false"/>
                <w:bCs w:val="false"/>
                <w:color w:val="000000"/>
                <w:sz w:val="20"/>
                <w:szCs w:val="20"/>
              </w:rPr>
              <w:t xml:space="preserve">Premium brewed coffee</w:t>
            </w:r>
          </w:p>
        </w:tc>
        <w:tc>
          <w:tcPr>
            <w:tcW w:type="dxa" w:w="3000"/>
          </w:tcPr>
          <w:p>
            <w:pPr>
              <w:jc w:val="left"/>
            </w:pPr>
            <w:r>
              <w:rPr>
                <w:b w:val="false"/>
                <w:bCs w:val="false"/>
                <w:color w:val="000000"/>
                <w:sz w:val="20"/>
                <w:szCs w:val="20"/>
              </w:rPr>
              <w:t xml:space="preserve">12,431</w:t>
            </w:r>
          </w:p>
        </w:tc>
      </w:tr>
      <w:tr>
        <w:tc>
          <w:tcPr>
            <w:tcW w:type="dxa" w:w="1200"/>
          </w:tcPr>
          <w:p>
            <w:pPr>
              <w:jc w:val="left"/>
            </w:pPr>
            <w:r>
              <w:rPr>
                <w:b w:val="false"/>
                <w:bCs w:val="false"/>
                <w:color w:val="000000"/>
                <w:sz w:val="20"/>
                <w:szCs w:val="20"/>
              </w:rPr>
              <w:t xml:space="preserve">10</w:t>
            </w:r>
          </w:p>
        </w:tc>
        <w:tc>
          <w:tcPr>
            <w:tcW w:type="dxa" w:w="5540"/>
          </w:tcPr>
          <w:p>
            <w:pPr>
              <w:jc w:val="left"/>
            </w:pPr>
            <w:r>
              <w:rPr>
                <w:b w:val="false"/>
                <w:bCs w:val="false"/>
                <w:color w:val="000000"/>
                <w:sz w:val="20"/>
                <w:szCs w:val="20"/>
              </w:rPr>
              <w:t xml:space="preserve">Scone</w:t>
            </w:r>
          </w:p>
        </w:tc>
        <w:tc>
          <w:tcPr>
            <w:tcW w:type="dxa" w:w="3000"/>
          </w:tcPr>
          <w:p>
            <w:pPr>
              <w:jc w:val="left"/>
            </w:pPr>
            <w:r>
              <w:rPr>
                <w:b w:val="false"/>
                <w:bCs w:val="false"/>
                <w:color w:val="000000"/>
                <w:sz w:val="20"/>
                <w:szCs w:val="20"/>
              </w:rPr>
              <w:t xml:space="preserve">10,465</w:t>
            </w:r>
          </w:p>
        </w:tc>
      </w:tr>
    </w:tbl>
    <w:p>
      <w:pPr>
        <w:spacing w:after="160"/>
      </w:pPr>
      <w:r>
        <w:t xml:space="preserve"/>
      </w:r>
    </w:p>
    <w:p>
      <w:pPr>
        <w:pStyle w:val="Heading2"/>
        <w:spacing w:after="150" w:before="300"/>
      </w:pPr>
      <w:r>
        <w:t xml:space="preserve">4.2 Revenue Contribution — Top Products by Revenue</w:t>
      </w:r>
    </w:p>
    <w:p>
      <w:pPr>
        <w:spacing w:after="160"/>
      </w:pPr>
      <w:r>
        <w:t xml:space="preserve">Ranked by total revenue generated (top 10 of 29 product types):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00"/>
        <w:gridCol w:w="3540"/>
        <w:gridCol w:w="2400"/>
        <w:gridCol w:w="2900"/>
      </w:tblGrid>
      <w:tr>
        <w:trPr>
          <w:tblHeader/>
        </w:trPr>
        <w:tc>
          <w:tcPr>
            <w:tcW w:type="dxa" w:w="900"/>
            <w:shd w:fill="1F3864" w:color="auto" w:val="clear"/>
          </w:tcPr>
          <w:p>
            <w:pPr>
              <w:jc w:val="left"/>
            </w:pPr>
            <w:r>
              <w:rPr>
                <w:b/>
                <w:bCs/>
                <w:color w:val="FFFFFF"/>
                <w:sz w:val="20"/>
                <w:szCs w:val="20"/>
              </w:rPr>
              <w:t xml:space="preserve">Rank</w:t>
            </w:r>
          </w:p>
        </w:tc>
        <w:tc>
          <w:tcPr>
            <w:tcW w:type="dxa" w:w="3540"/>
            <w:shd w:fill="1F3864" w:color="auto" w:val="clear"/>
          </w:tcPr>
          <w:p>
            <w:pPr>
              <w:jc w:val="left"/>
            </w:pPr>
            <w:r>
              <w:rPr>
                <w:b/>
                <w:bCs/>
                <w:color w:val="FFFFFF"/>
                <w:sz w:val="20"/>
                <w:szCs w:val="20"/>
              </w:rPr>
              <w:t xml:space="preserve">Product Type</w:t>
            </w:r>
          </w:p>
        </w:tc>
        <w:tc>
          <w:tcPr>
            <w:tcW w:type="dxa" w:w="2400"/>
            <w:shd w:fill="1F3864" w:color="auto" w:val="clear"/>
          </w:tcPr>
          <w:p>
            <w:pPr>
              <w:jc w:val="left"/>
            </w:pPr>
            <w:r>
              <w:rPr>
                <w:b/>
                <w:bCs/>
                <w:color w:val="FFFFFF"/>
                <w:sz w:val="20"/>
                <w:szCs w:val="20"/>
              </w:rPr>
              <w:t xml:space="preserve">Revenue (₹)</w:t>
            </w:r>
          </w:p>
        </w:tc>
        <w:tc>
          <w:tcPr>
            <w:tcW w:type="dxa" w:w="2900"/>
            <w:shd w:fill="1F3864" w:color="auto" w:val="clear"/>
          </w:tcPr>
          <w:p>
            <w:pPr>
              <w:jc w:val="left"/>
            </w:pPr>
            <w:r>
              <w:rPr>
                <w:b/>
                <w:bCs/>
                <w:color w:val="FFFFFF"/>
                <w:sz w:val="20"/>
                <w:szCs w:val="20"/>
              </w:rPr>
              <w:t xml:space="preserve">% of Total Revenue</w:t>
            </w:r>
          </w:p>
        </w:tc>
      </w:tr>
      <w:tr>
        <w:tc>
          <w:tcPr>
            <w:tcW w:type="dxa" w:w="900"/>
          </w:tcPr>
          <w:p>
            <w:pPr>
              <w:jc w:val="left"/>
            </w:pPr>
            <w:r>
              <w:rPr>
                <w:b w:val="false"/>
                <w:bCs w:val="false"/>
                <w:color w:val="000000"/>
                <w:sz w:val="20"/>
                <w:szCs w:val="20"/>
              </w:rPr>
              <w:t xml:space="preserve">1</w:t>
            </w:r>
          </w:p>
        </w:tc>
        <w:tc>
          <w:tcPr>
            <w:tcW w:type="dxa" w:w="3540"/>
          </w:tcPr>
          <w:p>
            <w:pPr>
              <w:jc w:val="left"/>
            </w:pPr>
            <w:r>
              <w:rPr>
                <w:b w:val="false"/>
                <w:bCs w:val="false"/>
                <w:color w:val="000000"/>
                <w:sz w:val="20"/>
                <w:szCs w:val="20"/>
              </w:rPr>
              <w:t xml:space="preserve">Barista Espresso</w:t>
            </w:r>
          </w:p>
        </w:tc>
        <w:tc>
          <w:tcPr>
            <w:tcW w:type="dxa" w:w="2400"/>
          </w:tcPr>
          <w:p>
            <w:pPr>
              <w:jc w:val="left"/>
            </w:pPr>
            <w:r>
              <w:rPr>
                <w:b w:val="false"/>
                <w:bCs w:val="false"/>
                <w:color w:val="000000"/>
                <w:sz w:val="20"/>
                <w:szCs w:val="20"/>
              </w:rPr>
              <w:t xml:space="preserve">91,406.20</w:t>
            </w:r>
          </w:p>
        </w:tc>
        <w:tc>
          <w:tcPr>
            <w:tcW w:type="dxa" w:w="2900"/>
          </w:tcPr>
          <w:p>
            <w:pPr>
              <w:jc w:val="left"/>
            </w:pPr>
            <w:r>
              <w:rPr>
                <w:b w:val="false"/>
                <w:bCs w:val="false"/>
                <w:color w:val="000000"/>
                <w:sz w:val="20"/>
                <w:szCs w:val="20"/>
              </w:rPr>
              <w:t xml:space="preserve">13.08%</w:t>
            </w:r>
          </w:p>
        </w:tc>
      </w:tr>
      <w:tr>
        <w:tc>
          <w:tcPr>
            <w:tcW w:type="dxa" w:w="900"/>
          </w:tcPr>
          <w:p>
            <w:pPr>
              <w:jc w:val="left"/>
            </w:pPr>
            <w:r>
              <w:rPr>
                <w:b w:val="false"/>
                <w:bCs w:val="false"/>
                <w:color w:val="000000"/>
                <w:sz w:val="20"/>
                <w:szCs w:val="20"/>
              </w:rPr>
              <w:t xml:space="preserve">2</w:t>
            </w:r>
          </w:p>
        </w:tc>
        <w:tc>
          <w:tcPr>
            <w:tcW w:type="dxa" w:w="3540"/>
          </w:tcPr>
          <w:p>
            <w:pPr>
              <w:jc w:val="left"/>
            </w:pPr>
            <w:r>
              <w:rPr>
                <w:b w:val="false"/>
                <w:bCs w:val="false"/>
                <w:color w:val="000000"/>
                <w:sz w:val="20"/>
                <w:szCs w:val="20"/>
              </w:rPr>
              <w:t xml:space="preserve">Brewed Chai tea</w:t>
            </w:r>
          </w:p>
        </w:tc>
        <w:tc>
          <w:tcPr>
            <w:tcW w:type="dxa" w:w="2400"/>
          </w:tcPr>
          <w:p>
            <w:pPr>
              <w:jc w:val="left"/>
            </w:pPr>
            <w:r>
              <w:rPr>
                <w:b w:val="false"/>
                <w:bCs w:val="false"/>
                <w:color w:val="000000"/>
                <w:sz w:val="20"/>
                <w:szCs w:val="20"/>
              </w:rPr>
              <w:t xml:space="preserve">77,081.95</w:t>
            </w:r>
          </w:p>
        </w:tc>
        <w:tc>
          <w:tcPr>
            <w:tcW w:type="dxa" w:w="2900"/>
          </w:tcPr>
          <w:p>
            <w:pPr>
              <w:jc w:val="left"/>
            </w:pPr>
            <w:r>
              <w:rPr>
                <w:b w:val="false"/>
                <w:bCs w:val="false"/>
                <w:color w:val="000000"/>
                <w:sz w:val="20"/>
                <w:szCs w:val="20"/>
              </w:rPr>
              <w:t xml:space="preserve">11.03%</w:t>
            </w:r>
          </w:p>
        </w:tc>
      </w:tr>
      <w:tr>
        <w:tc>
          <w:tcPr>
            <w:tcW w:type="dxa" w:w="900"/>
          </w:tcPr>
          <w:p>
            <w:pPr>
              <w:jc w:val="left"/>
            </w:pPr>
            <w:r>
              <w:rPr>
                <w:b w:val="false"/>
                <w:bCs w:val="false"/>
                <w:color w:val="000000"/>
                <w:sz w:val="20"/>
                <w:szCs w:val="20"/>
              </w:rPr>
              <w:t xml:space="preserve">3</w:t>
            </w:r>
          </w:p>
        </w:tc>
        <w:tc>
          <w:tcPr>
            <w:tcW w:type="dxa" w:w="3540"/>
          </w:tcPr>
          <w:p>
            <w:pPr>
              <w:jc w:val="left"/>
            </w:pPr>
            <w:r>
              <w:rPr>
                <w:b w:val="false"/>
                <w:bCs w:val="false"/>
                <w:color w:val="000000"/>
                <w:sz w:val="20"/>
                <w:szCs w:val="20"/>
              </w:rPr>
              <w:t xml:space="preserve">Hot chocolate</w:t>
            </w:r>
          </w:p>
        </w:tc>
        <w:tc>
          <w:tcPr>
            <w:tcW w:type="dxa" w:w="2400"/>
          </w:tcPr>
          <w:p>
            <w:pPr>
              <w:jc w:val="left"/>
            </w:pPr>
            <w:r>
              <w:rPr>
                <w:b w:val="false"/>
                <w:bCs w:val="false"/>
                <w:color w:val="000000"/>
                <w:sz w:val="20"/>
                <w:szCs w:val="20"/>
              </w:rPr>
              <w:t xml:space="preserve">72,416.00</w:t>
            </w:r>
          </w:p>
        </w:tc>
        <w:tc>
          <w:tcPr>
            <w:tcW w:type="dxa" w:w="2900"/>
          </w:tcPr>
          <w:p>
            <w:pPr>
              <w:jc w:val="left"/>
            </w:pPr>
            <w:r>
              <w:rPr>
                <w:b w:val="false"/>
                <w:bCs w:val="false"/>
                <w:color w:val="000000"/>
                <w:sz w:val="20"/>
                <w:szCs w:val="20"/>
              </w:rPr>
              <w:t xml:space="preserve">10.36%</w:t>
            </w:r>
          </w:p>
        </w:tc>
      </w:tr>
      <w:tr>
        <w:tc>
          <w:tcPr>
            <w:tcW w:type="dxa" w:w="900"/>
          </w:tcPr>
          <w:p>
            <w:pPr>
              <w:jc w:val="left"/>
            </w:pPr>
            <w:r>
              <w:rPr>
                <w:b w:val="false"/>
                <w:bCs w:val="false"/>
                <w:color w:val="000000"/>
                <w:sz w:val="20"/>
                <w:szCs w:val="20"/>
              </w:rPr>
              <w:t xml:space="preserve">4</w:t>
            </w:r>
          </w:p>
        </w:tc>
        <w:tc>
          <w:tcPr>
            <w:tcW w:type="dxa" w:w="3540"/>
          </w:tcPr>
          <w:p>
            <w:pPr>
              <w:jc w:val="left"/>
            </w:pPr>
            <w:r>
              <w:rPr>
                <w:b w:val="false"/>
                <w:bCs w:val="false"/>
                <w:color w:val="000000"/>
                <w:sz w:val="20"/>
                <w:szCs w:val="20"/>
              </w:rPr>
              <w:t xml:space="preserve">Gourmet brewed coffee</w:t>
            </w:r>
          </w:p>
        </w:tc>
        <w:tc>
          <w:tcPr>
            <w:tcW w:type="dxa" w:w="2400"/>
          </w:tcPr>
          <w:p>
            <w:pPr>
              <w:jc w:val="left"/>
            </w:pPr>
            <w:r>
              <w:rPr>
                <w:b w:val="false"/>
                <w:bCs w:val="false"/>
                <w:color w:val="000000"/>
                <w:sz w:val="20"/>
                <w:szCs w:val="20"/>
              </w:rPr>
              <w:t xml:space="preserve">70,034.60</w:t>
            </w:r>
          </w:p>
        </w:tc>
        <w:tc>
          <w:tcPr>
            <w:tcW w:type="dxa" w:w="2900"/>
          </w:tcPr>
          <w:p>
            <w:pPr>
              <w:jc w:val="left"/>
            </w:pPr>
            <w:r>
              <w:rPr>
                <w:b w:val="false"/>
                <w:bCs w:val="false"/>
                <w:color w:val="000000"/>
                <w:sz w:val="20"/>
                <w:szCs w:val="20"/>
              </w:rPr>
              <w:t xml:space="preserve">10.02%</w:t>
            </w:r>
          </w:p>
        </w:tc>
      </w:tr>
      <w:tr>
        <w:tc>
          <w:tcPr>
            <w:tcW w:type="dxa" w:w="900"/>
          </w:tcPr>
          <w:p>
            <w:pPr>
              <w:jc w:val="left"/>
            </w:pPr>
            <w:r>
              <w:rPr>
                <w:b w:val="false"/>
                <w:bCs w:val="false"/>
                <w:color w:val="000000"/>
                <w:sz w:val="20"/>
                <w:szCs w:val="20"/>
              </w:rPr>
              <w:t xml:space="preserve">5</w:t>
            </w:r>
          </w:p>
        </w:tc>
        <w:tc>
          <w:tcPr>
            <w:tcW w:type="dxa" w:w="3540"/>
          </w:tcPr>
          <w:p>
            <w:pPr>
              <w:jc w:val="left"/>
            </w:pPr>
            <w:r>
              <w:rPr>
                <w:b w:val="false"/>
                <w:bCs w:val="false"/>
                <w:color w:val="000000"/>
                <w:sz w:val="20"/>
                <w:szCs w:val="20"/>
              </w:rPr>
              <w:t xml:space="preserve">Brewed Black tea</w:t>
            </w:r>
          </w:p>
        </w:tc>
        <w:tc>
          <w:tcPr>
            <w:tcW w:type="dxa" w:w="2400"/>
          </w:tcPr>
          <w:p>
            <w:pPr>
              <w:jc w:val="left"/>
            </w:pPr>
            <w:r>
              <w:rPr>
                <w:b w:val="false"/>
                <w:bCs w:val="false"/>
                <w:color w:val="000000"/>
                <w:sz w:val="20"/>
                <w:szCs w:val="20"/>
              </w:rPr>
              <w:t xml:space="preserve">47,932.00</w:t>
            </w:r>
          </w:p>
        </w:tc>
        <w:tc>
          <w:tcPr>
            <w:tcW w:type="dxa" w:w="2900"/>
          </w:tcPr>
          <w:p>
            <w:pPr>
              <w:jc w:val="left"/>
            </w:pPr>
            <w:r>
              <w:rPr>
                <w:b w:val="false"/>
                <w:bCs w:val="false"/>
                <w:color w:val="000000"/>
                <w:sz w:val="20"/>
                <w:szCs w:val="20"/>
              </w:rPr>
              <w:t xml:space="preserve">6.86%</w:t>
            </w:r>
          </w:p>
        </w:tc>
      </w:tr>
      <w:tr>
        <w:tc>
          <w:tcPr>
            <w:tcW w:type="dxa" w:w="900"/>
          </w:tcPr>
          <w:p>
            <w:pPr>
              <w:jc w:val="left"/>
            </w:pPr>
            <w:r>
              <w:rPr>
                <w:b w:val="false"/>
                <w:bCs w:val="false"/>
                <w:color w:val="000000"/>
                <w:sz w:val="20"/>
                <w:szCs w:val="20"/>
              </w:rPr>
              <w:t xml:space="preserve">6</w:t>
            </w:r>
          </w:p>
        </w:tc>
        <w:tc>
          <w:tcPr>
            <w:tcW w:type="dxa" w:w="3540"/>
          </w:tcPr>
          <w:p>
            <w:pPr>
              <w:jc w:val="left"/>
            </w:pPr>
            <w:r>
              <w:rPr>
                <w:b w:val="false"/>
                <w:bCs w:val="false"/>
                <w:color w:val="000000"/>
                <w:sz w:val="20"/>
                <w:szCs w:val="20"/>
              </w:rPr>
              <w:t xml:space="preserve">Brewed herbal tea</w:t>
            </w:r>
          </w:p>
        </w:tc>
        <w:tc>
          <w:tcPr>
            <w:tcW w:type="dxa" w:w="2400"/>
          </w:tcPr>
          <w:p>
            <w:pPr>
              <w:jc w:val="left"/>
            </w:pPr>
            <w:r>
              <w:rPr>
                <w:b w:val="false"/>
                <w:bCs w:val="false"/>
                <w:color w:val="000000"/>
                <w:sz w:val="20"/>
                <w:szCs w:val="20"/>
              </w:rPr>
              <w:t xml:space="preserve">47,539.50</w:t>
            </w:r>
          </w:p>
        </w:tc>
        <w:tc>
          <w:tcPr>
            <w:tcW w:type="dxa" w:w="2900"/>
          </w:tcPr>
          <w:p>
            <w:pPr>
              <w:jc w:val="left"/>
            </w:pPr>
            <w:r>
              <w:rPr>
                <w:b w:val="false"/>
                <w:bCs w:val="false"/>
                <w:color w:val="000000"/>
                <w:sz w:val="20"/>
                <w:szCs w:val="20"/>
              </w:rPr>
              <w:t xml:space="preserve">6.80%</w:t>
            </w:r>
          </w:p>
        </w:tc>
      </w:tr>
      <w:tr>
        <w:tc>
          <w:tcPr>
            <w:tcW w:type="dxa" w:w="900"/>
          </w:tcPr>
          <w:p>
            <w:pPr>
              <w:jc w:val="left"/>
            </w:pPr>
            <w:r>
              <w:rPr>
                <w:b w:val="false"/>
                <w:bCs w:val="false"/>
                <w:color w:val="000000"/>
                <w:sz w:val="20"/>
                <w:szCs w:val="20"/>
              </w:rPr>
              <w:t xml:space="preserve">7</w:t>
            </w:r>
          </w:p>
        </w:tc>
        <w:tc>
          <w:tcPr>
            <w:tcW w:type="dxa" w:w="3540"/>
          </w:tcPr>
          <w:p>
            <w:pPr>
              <w:jc w:val="left"/>
            </w:pPr>
            <w:r>
              <w:rPr>
                <w:b w:val="false"/>
                <w:bCs w:val="false"/>
                <w:color w:val="000000"/>
                <w:sz w:val="20"/>
                <w:szCs w:val="20"/>
              </w:rPr>
              <w:t xml:space="preserve">Premium brewed coffee</w:t>
            </w:r>
          </w:p>
        </w:tc>
        <w:tc>
          <w:tcPr>
            <w:tcW w:type="dxa" w:w="2400"/>
          </w:tcPr>
          <w:p>
            <w:pPr>
              <w:jc w:val="left"/>
            </w:pPr>
            <w:r>
              <w:rPr>
                <w:b w:val="false"/>
                <w:bCs w:val="false"/>
                <w:color w:val="000000"/>
                <w:sz w:val="20"/>
                <w:szCs w:val="20"/>
              </w:rPr>
              <w:t xml:space="preserve">38,781.15</w:t>
            </w:r>
          </w:p>
        </w:tc>
        <w:tc>
          <w:tcPr>
            <w:tcW w:type="dxa" w:w="2900"/>
          </w:tcPr>
          <w:p>
            <w:pPr>
              <w:jc w:val="left"/>
            </w:pPr>
            <w:r>
              <w:rPr>
                <w:b w:val="false"/>
                <w:bCs w:val="false"/>
                <w:color w:val="000000"/>
                <w:sz w:val="20"/>
                <w:szCs w:val="20"/>
              </w:rPr>
              <w:t xml:space="preserve">5.55%</w:t>
            </w:r>
          </w:p>
        </w:tc>
      </w:tr>
      <w:tr>
        <w:tc>
          <w:tcPr>
            <w:tcW w:type="dxa" w:w="900"/>
          </w:tcPr>
          <w:p>
            <w:pPr>
              <w:jc w:val="left"/>
            </w:pPr>
            <w:r>
              <w:rPr>
                <w:b w:val="false"/>
                <w:bCs w:val="false"/>
                <w:color w:val="000000"/>
                <w:sz w:val="20"/>
                <w:szCs w:val="20"/>
              </w:rPr>
              <w:t xml:space="preserve">8</w:t>
            </w:r>
          </w:p>
        </w:tc>
        <w:tc>
          <w:tcPr>
            <w:tcW w:type="dxa" w:w="3540"/>
          </w:tcPr>
          <w:p>
            <w:pPr>
              <w:jc w:val="left"/>
            </w:pPr>
            <w:r>
              <w:rPr>
                <w:b w:val="false"/>
                <w:bCs w:val="false"/>
                <w:color w:val="000000"/>
                <w:sz w:val="20"/>
                <w:szCs w:val="20"/>
              </w:rPr>
              <w:t xml:space="preserve">Organic brewed coffee</w:t>
            </w:r>
          </w:p>
        </w:tc>
        <w:tc>
          <w:tcPr>
            <w:tcW w:type="dxa" w:w="2400"/>
          </w:tcPr>
          <w:p>
            <w:pPr>
              <w:jc w:val="left"/>
            </w:pPr>
            <w:r>
              <w:rPr>
                <w:b w:val="false"/>
                <w:bCs w:val="false"/>
                <w:color w:val="000000"/>
                <w:sz w:val="20"/>
                <w:szCs w:val="20"/>
              </w:rPr>
              <w:t xml:space="preserve">37,746.50</w:t>
            </w:r>
          </w:p>
        </w:tc>
        <w:tc>
          <w:tcPr>
            <w:tcW w:type="dxa" w:w="2900"/>
          </w:tcPr>
          <w:p>
            <w:pPr>
              <w:jc w:val="left"/>
            </w:pPr>
            <w:r>
              <w:rPr>
                <w:b w:val="false"/>
                <w:bCs w:val="false"/>
                <w:color w:val="000000"/>
                <w:sz w:val="20"/>
                <w:szCs w:val="20"/>
              </w:rPr>
              <w:t xml:space="preserve">5.40%</w:t>
            </w:r>
          </w:p>
        </w:tc>
      </w:tr>
      <w:tr>
        <w:tc>
          <w:tcPr>
            <w:tcW w:type="dxa" w:w="900"/>
          </w:tcPr>
          <w:p>
            <w:pPr>
              <w:jc w:val="left"/>
            </w:pPr>
            <w:r>
              <w:rPr>
                <w:b w:val="false"/>
                <w:bCs w:val="false"/>
                <w:color w:val="000000"/>
                <w:sz w:val="20"/>
                <w:szCs w:val="20"/>
              </w:rPr>
              <w:t xml:space="preserve">9</w:t>
            </w:r>
          </w:p>
        </w:tc>
        <w:tc>
          <w:tcPr>
            <w:tcW w:type="dxa" w:w="3540"/>
          </w:tcPr>
          <w:p>
            <w:pPr>
              <w:jc w:val="left"/>
            </w:pPr>
            <w:r>
              <w:rPr>
                <w:b w:val="false"/>
                <w:bCs w:val="false"/>
                <w:color w:val="000000"/>
                <w:sz w:val="20"/>
                <w:szCs w:val="20"/>
              </w:rPr>
              <w:t xml:space="preserve">Scone</w:t>
            </w:r>
          </w:p>
        </w:tc>
        <w:tc>
          <w:tcPr>
            <w:tcW w:type="dxa" w:w="2400"/>
          </w:tcPr>
          <w:p>
            <w:pPr>
              <w:jc w:val="left"/>
            </w:pPr>
            <w:r>
              <w:rPr>
                <w:b w:val="false"/>
                <w:bCs w:val="false"/>
                <w:color w:val="000000"/>
                <w:sz w:val="20"/>
                <w:szCs w:val="20"/>
              </w:rPr>
              <w:t xml:space="preserve">36,866.12</w:t>
            </w:r>
          </w:p>
        </w:tc>
        <w:tc>
          <w:tcPr>
            <w:tcW w:type="dxa" w:w="2900"/>
          </w:tcPr>
          <w:p>
            <w:pPr>
              <w:jc w:val="left"/>
            </w:pPr>
            <w:r>
              <w:rPr>
                <w:b w:val="false"/>
                <w:bCs w:val="false"/>
                <w:color w:val="000000"/>
                <w:sz w:val="20"/>
                <w:szCs w:val="20"/>
              </w:rPr>
              <w:t xml:space="preserve">5.28%</w:t>
            </w:r>
          </w:p>
        </w:tc>
      </w:tr>
      <w:tr>
        <w:tc>
          <w:tcPr>
            <w:tcW w:type="dxa" w:w="900"/>
          </w:tcPr>
          <w:p>
            <w:pPr>
              <w:jc w:val="left"/>
            </w:pPr>
            <w:r>
              <w:rPr>
                <w:b w:val="false"/>
                <w:bCs w:val="false"/>
                <w:color w:val="000000"/>
                <w:sz w:val="20"/>
                <w:szCs w:val="20"/>
              </w:rPr>
              <w:t xml:space="preserve">10</w:t>
            </w:r>
          </w:p>
        </w:tc>
        <w:tc>
          <w:tcPr>
            <w:tcW w:type="dxa" w:w="3540"/>
          </w:tcPr>
          <w:p>
            <w:pPr>
              <w:jc w:val="left"/>
            </w:pPr>
            <w:r>
              <w:rPr>
                <w:b w:val="false"/>
                <w:bCs w:val="false"/>
                <w:color w:val="000000"/>
                <w:sz w:val="20"/>
                <w:szCs w:val="20"/>
              </w:rPr>
              <w:t xml:space="preserve">Drip coffee</w:t>
            </w:r>
          </w:p>
        </w:tc>
        <w:tc>
          <w:tcPr>
            <w:tcW w:type="dxa" w:w="2400"/>
          </w:tcPr>
          <w:p>
            <w:pPr>
              <w:jc w:val="left"/>
            </w:pPr>
            <w:r>
              <w:rPr>
                <w:b w:val="false"/>
                <w:bCs w:val="false"/>
                <w:color w:val="000000"/>
                <w:sz w:val="20"/>
                <w:szCs w:val="20"/>
              </w:rPr>
              <w:t xml:space="preserve">31,984.00</w:t>
            </w:r>
          </w:p>
        </w:tc>
        <w:tc>
          <w:tcPr>
            <w:tcW w:type="dxa" w:w="2900"/>
          </w:tcPr>
          <w:p>
            <w:pPr>
              <w:jc w:val="left"/>
            </w:pPr>
            <w:r>
              <w:rPr>
                <w:b w:val="false"/>
                <w:bCs w:val="false"/>
                <w:color w:val="000000"/>
                <w:sz w:val="20"/>
                <w:szCs w:val="20"/>
              </w:rPr>
              <w:t xml:space="preserve">4.58%</w:t>
            </w:r>
          </w:p>
        </w:tc>
      </w:tr>
    </w:tbl>
    <w:p>
      <w:pPr>
        <w:spacing w:after="160"/>
      </w:pPr>
      <w:r>
        <w:t xml:space="preserve"/>
      </w:r>
    </w:p>
    <w:p>
      <w:pPr>
        <w:spacing w:after="160"/>
      </w:pPr>
      <w:r>
        <w:t xml:space="preserve">Notably, the two rankings diverge: Brewed Chai tea sells the most units but ranks second in revenue, while Barista Espresso sells fewer units (3rd by volume) but generates the most revenue — reflecting its higher per-unit price. This gap between volume rank and revenue rank was quantified for every product type (Section 4.3).</w:t>
      </w:r>
    </w:p>
    <w:p>
      <w:pPr>
        <w:pStyle w:val="Heading2"/>
        <w:spacing w:after="150" w:before="300"/>
      </w:pPr>
      <w:r>
        <w:t xml:space="preserve">4.3 Volume Rank vs. Revenue Rank — Premium and Underperforming Items</w:t>
      </w:r>
    </w:p>
    <w:p>
      <w:pPr>
        <w:spacing w:after="160"/>
      </w:pPr>
      <w:r>
        <w:t xml:space="preserve">Comparing each product's sales-volume rank against its revenue rank highlights two distinct groups. Products whose revenue rank is meaningfully better than their volume rank are premium, high-value items — they don't need to sell in bulk to contribute strongly to revenue. Products whose revenue rank is worse than their volume rank sell in reasonable quantity but contribute disproportionately little revenue, making them candidates for repricing or review.</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540"/>
      </w:tblGrid>
      <w:tr>
        <w:trPr>
          <w:tblHeader/>
        </w:trPr>
        <w:tc>
          <w:tcPr>
            <w:tcW w:type="dxa" w:w="3200"/>
            <w:shd w:fill="1F3864" w:color="auto" w:val="clear"/>
          </w:tcPr>
          <w:p>
            <w:pPr>
              <w:jc w:val="left"/>
            </w:pPr>
            <w:r>
              <w:rPr>
                <w:b/>
                <w:bCs/>
                <w:color w:val="FFFFFF"/>
                <w:sz w:val="20"/>
                <w:szCs w:val="20"/>
              </w:rPr>
              <w:t xml:space="preserve">Product Type</w:t>
            </w:r>
          </w:p>
        </w:tc>
        <w:tc>
          <w:tcPr>
            <w:tcW w:type="dxa" w:w="2000"/>
            <w:shd w:fill="1F3864" w:color="auto" w:val="clear"/>
          </w:tcPr>
          <w:p>
            <w:pPr>
              <w:jc w:val="left"/>
            </w:pPr>
            <w:r>
              <w:rPr>
                <w:b/>
                <w:bCs/>
                <w:color w:val="FFFFFF"/>
                <w:sz w:val="20"/>
                <w:szCs w:val="20"/>
              </w:rPr>
              <w:t xml:space="preserve">Volume Rank</w:t>
            </w:r>
          </w:p>
        </w:tc>
        <w:tc>
          <w:tcPr>
            <w:tcW w:type="dxa" w:w="2000"/>
            <w:shd w:fill="1F3864" w:color="auto" w:val="clear"/>
          </w:tcPr>
          <w:p>
            <w:pPr>
              <w:jc w:val="left"/>
            </w:pPr>
            <w:r>
              <w:rPr>
                <w:b/>
                <w:bCs/>
                <w:color w:val="FFFFFF"/>
                <w:sz w:val="20"/>
                <w:szCs w:val="20"/>
              </w:rPr>
              <w:t xml:space="preserve">Revenue Rank</w:t>
            </w:r>
          </w:p>
        </w:tc>
        <w:tc>
          <w:tcPr>
            <w:tcW w:type="dxa" w:w="2540"/>
            <w:shd w:fill="1F3864" w:color="auto" w:val="clear"/>
          </w:tcPr>
          <w:p>
            <w:pPr>
              <w:jc w:val="left"/>
            </w:pPr>
            <w:r>
              <w:rPr>
                <w:b/>
                <w:bCs/>
                <w:color w:val="FFFFFF"/>
                <w:sz w:val="20"/>
                <w:szCs w:val="20"/>
              </w:rPr>
              <w:t xml:space="preserve">Interpretation</w:t>
            </w:r>
          </w:p>
        </w:tc>
      </w:tr>
      <w:tr>
        <w:tc>
          <w:tcPr>
            <w:tcW w:type="dxa" w:w="3200"/>
          </w:tcPr>
          <w:p>
            <w:pPr>
              <w:jc w:val="left"/>
            </w:pPr>
            <w:r>
              <w:rPr>
                <w:b w:val="false"/>
                <w:bCs w:val="false"/>
                <w:color w:val="000000"/>
                <w:sz w:val="20"/>
                <w:szCs w:val="20"/>
              </w:rPr>
              <w:t xml:space="preserve">Barista Espresso</w:t>
            </w:r>
          </w:p>
        </w:tc>
        <w:tc>
          <w:tcPr>
            <w:tcW w:type="dxa" w:w="2000"/>
          </w:tcPr>
          <w:p>
            <w:pPr>
              <w:jc w:val="left"/>
            </w:pPr>
            <w:r>
              <w:rPr>
                <w:b w:val="false"/>
                <w:bCs w:val="false"/>
                <w:color w:val="000000"/>
                <w:sz w:val="20"/>
                <w:szCs w:val="20"/>
              </w:rPr>
              <w:t xml:space="preserve">3</w:t>
            </w:r>
          </w:p>
        </w:tc>
        <w:tc>
          <w:tcPr>
            <w:tcW w:type="dxa" w:w="2000"/>
          </w:tcPr>
          <w:p>
            <w:pPr>
              <w:jc w:val="left"/>
            </w:pPr>
            <w:r>
              <w:rPr>
                <w:b w:val="false"/>
                <w:bCs w:val="false"/>
                <w:color w:val="000000"/>
                <w:sz w:val="20"/>
                <w:szCs w:val="20"/>
              </w:rPr>
              <w:t xml:space="preserve">1</w:t>
            </w:r>
          </w:p>
        </w:tc>
        <w:tc>
          <w:tcPr>
            <w:tcW w:type="dxa" w:w="2540"/>
          </w:tcPr>
          <w:p>
            <w:pPr>
              <w:jc w:val="left"/>
            </w:pPr>
            <w:r>
              <w:rPr>
                <w:b w:val="false"/>
                <w:bCs w:val="false"/>
                <w:color w:val="000000"/>
                <w:sz w:val="20"/>
                <w:szCs w:val="20"/>
              </w:rPr>
              <w:t xml:space="preserve">Premium / high-value</w:t>
            </w:r>
          </w:p>
        </w:tc>
      </w:tr>
      <w:tr>
        <w:tc>
          <w:tcPr>
            <w:tcW w:type="dxa" w:w="3200"/>
          </w:tcPr>
          <w:p>
            <w:pPr>
              <w:jc w:val="left"/>
            </w:pPr>
            <w:r>
              <w:rPr>
                <w:b w:val="false"/>
                <w:bCs w:val="false"/>
                <w:color w:val="000000"/>
                <w:sz w:val="20"/>
                <w:szCs w:val="20"/>
              </w:rPr>
              <w:t xml:space="preserve">Clothing</w:t>
            </w:r>
          </w:p>
        </w:tc>
        <w:tc>
          <w:tcPr>
            <w:tcW w:type="dxa" w:w="2000"/>
          </w:tcPr>
          <w:p>
            <w:pPr>
              <w:jc w:val="left"/>
            </w:pPr>
            <w:r>
              <w:rPr>
                <w:b w:val="false"/>
                <w:bCs w:val="false"/>
                <w:color w:val="000000"/>
                <w:sz w:val="20"/>
                <w:szCs w:val="20"/>
              </w:rPr>
              <w:t xml:space="preserve">18</w:t>
            </w:r>
          </w:p>
        </w:tc>
        <w:tc>
          <w:tcPr>
            <w:tcW w:type="dxa" w:w="2000"/>
          </w:tcPr>
          <w:p>
            <w:pPr>
              <w:jc w:val="left"/>
            </w:pPr>
            <w:r>
              <w:rPr>
                <w:b w:val="false"/>
                <w:bCs w:val="false"/>
                <w:color w:val="000000"/>
                <w:sz w:val="20"/>
                <w:szCs w:val="20"/>
              </w:rPr>
              <w:t xml:space="preserve">25</w:t>
            </w:r>
          </w:p>
        </w:tc>
        <w:tc>
          <w:tcPr>
            <w:tcW w:type="dxa" w:w="2540"/>
          </w:tcPr>
          <w:p>
            <w:pPr>
              <w:jc w:val="left"/>
            </w:pPr>
            <w:r>
              <w:rPr>
                <w:b w:val="false"/>
                <w:bCs w:val="false"/>
                <w:color w:val="000000"/>
                <w:sz w:val="20"/>
                <w:szCs w:val="20"/>
              </w:rPr>
              <w:t xml:space="preserve">Sells reasonably, low revenue contribution</w:t>
            </w:r>
          </w:p>
        </w:tc>
      </w:tr>
      <w:tr>
        <w:tc>
          <w:tcPr>
            <w:tcW w:type="dxa" w:w="3200"/>
          </w:tcPr>
          <w:p>
            <w:pPr>
              <w:jc w:val="left"/>
            </w:pPr>
            <w:r>
              <w:rPr>
                <w:b w:val="false"/>
                <w:bCs w:val="false"/>
                <w:color w:val="000000"/>
                <w:sz w:val="20"/>
                <w:szCs w:val="20"/>
              </w:rPr>
              <w:t xml:space="preserve">House blend Beans</w:t>
            </w:r>
          </w:p>
        </w:tc>
        <w:tc>
          <w:tcPr>
            <w:tcW w:type="dxa" w:w="2000"/>
          </w:tcPr>
          <w:p>
            <w:pPr>
              <w:jc w:val="left"/>
            </w:pPr>
            <w:r>
              <w:rPr>
                <w:b w:val="false"/>
                <w:bCs w:val="false"/>
                <w:color w:val="000000"/>
                <w:sz w:val="20"/>
                <w:szCs w:val="20"/>
              </w:rPr>
              <w:t xml:space="preserve">27</w:t>
            </w:r>
          </w:p>
        </w:tc>
        <w:tc>
          <w:tcPr>
            <w:tcW w:type="dxa" w:w="2000"/>
          </w:tcPr>
          <w:p>
            <w:pPr>
              <w:jc w:val="left"/>
            </w:pPr>
            <w:r>
              <w:rPr>
                <w:b w:val="false"/>
                <w:bCs w:val="false"/>
                <w:color w:val="000000"/>
                <w:sz w:val="20"/>
                <w:szCs w:val="20"/>
              </w:rPr>
              <w:t xml:space="preserve">22</w:t>
            </w:r>
          </w:p>
        </w:tc>
        <w:tc>
          <w:tcPr>
            <w:tcW w:type="dxa" w:w="2540"/>
          </w:tcPr>
          <w:p>
            <w:pPr>
              <w:jc w:val="left"/>
            </w:pPr>
            <w:r>
              <w:rPr>
                <w:b w:val="false"/>
                <w:bCs w:val="false"/>
                <w:color w:val="000000"/>
                <w:sz w:val="20"/>
                <w:szCs w:val="20"/>
              </w:rPr>
              <w:t xml:space="preserve">Sells reasonably, low revenue contribution</w:t>
            </w:r>
          </w:p>
        </w:tc>
      </w:tr>
      <w:tr>
        <w:tc>
          <w:tcPr>
            <w:tcW w:type="dxa" w:w="3200"/>
          </w:tcPr>
          <w:p>
            <w:pPr>
              <w:jc w:val="left"/>
            </w:pPr>
            <w:r>
              <w:rPr>
                <w:b w:val="false"/>
                <w:bCs w:val="false"/>
                <w:color w:val="000000"/>
                <w:sz w:val="20"/>
                <w:szCs w:val="20"/>
              </w:rPr>
              <w:t xml:space="preserve">Premium Beans</w:t>
            </w:r>
          </w:p>
        </w:tc>
        <w:tc>
          <w:tcPr>
            <w:tcW w:type="dxa" w:w="2000"/>
          </w:tcPr>
          <w:p>
            <w:pPr>
              <w:jc w:val="left"/>
            </w:pPr>
            <w:r>
              <w:rPr>
                <w:b w:val="false"/>
                <w:bCs w:val="false"/>
                <w:color w:val="000000"/>
                <w:sz w:val="20"/>
                <w:szCs w:val="20"/>
              </w:rPr>
              <w:t xml:space="preserve">20</w:t>
            </w:r>
          </w:p>
        </w:tc>
        <w:tc>
          <w:tcPr>
            <w:tcW w:type="dxa" w:w="2000"/>
          </w:tcPr>
          <w:p>
            <w:pPr>
              <w:jc w:val="left"/>
            </w:pPr>
            <w:r>
              <w:rPr>
                <w:b w:val="false"/>
                <w:bCs w:val="false"/>
                <w:color w:val="000000"/>
                <w:sz w:val="20"/>
                <w:szCs w:val="20"/>
              </w:rPr>
              <w:t xml:space="preserve">15</w:t>
            </w:r>
          </w:p>
        </w:tc>
        <w:tc>
          <w:tcPr>
            <w:tcW w:type="dxa" w:w="2540"/>
          </w:tcPr>
          <w:p>
            <w:pPr>
              <w:jc w:val="left"/>
            </w:pPr>
            <w:r>
              <w:rPr>
                <w:b w:val="false"/>
                <w:bCs w:val="false"/>
                <w:color w:val="000000"/>
                <w:sz w:val="20"/>
                <w:szCs w:val="20"/>
              </w:rPr>
              <w:t xml:space="preserve">Sells reasonably, low revenue contribution</w:t>
            </w:r>
          </w:p>
        </w:tc>
      </w:tr>
      <w:tr>
        <w:tc>
          <w:tcPr>
            <w:tcW w:type="dxa" w:w="3200"/>
          </w:tcPr>
          <w:p>
            <w:pPr>
              <w:jc w:val="left"/>
            </w:pPr>
            <w:r>
              <w:rPr>
                <w:b w:val="false"/>
                <w:bCs w:val="false"/>
                <w:color w:val="000000"/>
                <w:sz w:val="20"/>
                <w:szCs w:val="20"/>
              </w:rPr>
              <w:t xml:space="preserve">Sugar free syrup</w:t>
            </w:r>
          </w:p>
        </w:tc>
        <w:tc>
          <w:tcPr>
            <w:tcW w:type="dxa" w:w="2000"/>
          </w:tcPr>
          <w:p>
            <w:pPr>
              <w:jc w:val="left"/>
            </w:pPr>
            <w:r>
              <w:rPr>
                <w:b w:val="false"/>
                <w:bCs w:val="false"/>
                <w:color w:val="000000"/>
                <w:sz w:val="20"/>
                <w:szCs w:val="20"/>
              </w:rPr>
              <w:t xml:space="preserve">15</w:t>
            </w:r>
          </w:p>
        </w:tc>
        <w:tc>
          <w:tcPr>
            <w:tcW w:type="dxa" w:w="2000"/>
          </w:tcPr>
          <w:p>
            <w:pPr>
              <w:jc w:val="left"/>
            </w:pPr>
            <w:r>
              <w:rPr>
                <w:b w:val="false"/>
                <w:bCs w:val="false"/>
                <w:color w:val="000000"/>
                <w:sz w:val="20"/>
                <w:szCs w:val="20"/>
              </w:rPr>
              <w:t xml:space="preserve">26</w:t>
            </w:r>
          </w:p>
        </w:tc>
        <w:tc>
          <w:tcPr>
            <w:tcW w:type="dxa" w:w="2540"/>
          </w:tcPr>
          <w:p>
            <w:pPr>
              <w:jc w:val="left"/>
            </w:pPr>
            <w:r>
              <w:rPr>
                <w:b w:val="false"/>
                <w:bCs w:val="false"/>
                <w:color w:val="000000"/>
                <w:sz w:val="20"/>
                <w:szCs w:val="20"/>
              </w:rPr>
              <w:t xml:space="preserve">Underperforms relative to volume</w:t>
            </w:r>
          </w:p>
        </w:tc>
      </w:tr>
      <w:tr>
        <w:tc>
          <w:tcPr>
            <w:tcW w:type="dxa" w:w="3200"/>
          </w:tcPr>
          <w:p>
            <w:pPr>
              <w:jc w:val="left"/>
            </w:pPr>
            <w:r>
              <w:rPr>
                <w:b w:val="false"/>
                <w:bCs w:val="false"/>
                <w:color w:val="000000"/>
                <w:sz w:val="20"/>
                <w:szCs w:val="20"/>
              </w:rPr>
              <w:t xml:space="preserve">Regular syrup</w:t>
            </w:r>
          </w:p>
        </w:tc>
        <w:tc>
          <w:tcPr>
            <w:tcW w:type="dxa" w:w="2000"/>
          </w:tcPr>
          <w:p>
            <w:pPr>
              <w:jc w:val="left"/>
            </w:pPr>
            <w:r>
              <w:rPr>
                <w:b w:val="false"/>
                <w:bCs w:val="false"/>
                <w:color w:val="000000"/>
                <w:sz w:val="20"/>
                <w:szCs w:val="20"/>
              </w:rPr>
              <w:t xml:space="preserve">12</w:t>
            </w:r>
          </w:p>
        </w:tc>
        <w:tc>
          <w:tcPr>
            <w:tcW w:type="dxa" w:w="2000"/>
          </w:tcPr>
          <w:p>
            <w:pPr>
              <w:jc w:val="left"/>
            </w:pPr>
            <w:r>
              <w:rPr>
                <w:b w:val="false"/>
                <w:bCs w:val="false"/>
                <w:color w:val="000000"/>
                <w:sz w:val="20"/>
                <w:szCs w:val="20"/>
              </w:rPr>
              <w:t xml:space="preserve">19</w:t>
            </w:r>
          </w:p>
        </w:tc>
        <w:tc>
          <w:tcPr>
            <w:tcW w:type="dxa" w:w="2540"/>
          </w:tcPr>
          <w:p>
            <w:pPr>
              <w:jc w:val="left"/>
            </w:pPr>
            <w:r>
              <w:rPr>
                <w:b w:val="false"/>
                <w:bCs w:val="false"/>
                <w:color w:val="000000"/>
                <w:sz w:val="20"/>
                <w:szCs w:val="20"/>
              </w:rPr>
              <w:t xml:space="preserve">Underperforms relative to volume</w:t>
            </w:r>
          </w:p>
        </w:tc>
      </w:tr>
    </w:tbl>
    <w:p>
      <w:pPr>
        <w:spacing w:after="160"/>
      </w:pPr>
      <w:r>
        <w:t xml:space="preserve"/>
      </w:r>
    </w:p>
    <w:p>
      <w:pPr>
        <w:pStyle w:val="Heading2"/>
        <w:spacing w:after="150" w:before="300"/>
      </w:pPr>
      <w:r>
        <w:t xml:space="preserve">4.4 Category &amp; Product-Type Performance</w:t>
      </w:r>
    </w:p>
    <w:p>
      <w:pPr>
        <w:spacing w:after="160"/>
      </w:pPr>
      <w:r>
        <w:t xml:space="preserve">Revenue share by product category:</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200"/>
        <w:gridCol w:w="2740"/>
        <w:gridCol w:w="2800"/>
      </w:tblGrid>
      <w:tr>
        <w:trPr>
          <w:tblHeader/>
        </w:trPr>
        <w:tc>
          <w:tcPr>
            <w:tcW w:type="dxa" w:w="4200"/>
            <w:shd w:fill="1F3864" w:color="auto" w:val="clear"/>
          </w:tcPr>
          <w:p>
            <w:pPr>
              <w:jc w:val="left"/>
            </w:pPr>
            <w:r>
              <w:rPr>
                <w:b/>
                <w:bCs/>
                <w:color w:val="FFFFFF"/>
                <w:sz w:val="20"/>
                <w:szCs w:val="20"/>
              </w:rPr>
              <w:t xml:space="preserve">Category</w:t>
            </w:r>
          </w:p>
        </w:tc>
        <w:tc>
          <w:tcPr>
            <w:tcW w:type="dxa" w:w="2740"/>
            <w:shd w:fill="1F3864" w:color="auto" w:val="clear"/>
          </w:tcPr>
          <w:p>
            <w:pPr>
              <w:jc w:val="left"/>
            </w:pPr>
            <w:r>
              <w:rPr>
                <w:b/>
                <w:bCs/>
                <w:color w:val="FFFFFF"/>
                <w:sz w:val="20"/>
                <w:szCs w:val="20"/>
              </w:rPr>
              <w:t xml:space="preserve">Revenue (₹)</w:t>
            </w:r>
          </w:p>
        </w:tc>
        <w:tc>
          <w:tcPr>
            <w:tcW w:type="dxa" w:w="2800"/>
            <w:shd w:fill="1F3864" w:color="auto" w:val="clear"/>
          </w:tcPr>
          <w:p>
            <w:pPr>
              <w:jc w:val="left"/>
            </w:pPr>
            <w:r>
              <w:rPr>
                <w:b/>
                <w:bCs/>
                <w:color w:val="FFFFFF"/>
                <w:sz w:val="20"/>
                <w:szCs w:val="20"/>
              </w:rPr>
              <w:t xml:space="preserve">% of Total Revenue</w:t>
            </w:r>
          </w:p>
        </w:tc>
      </w:tr>
      <w:tr>
        <w:tc>
          <w:tcPr>
            <w:tcW w:type="dxa" w:w="4200"/>
          </w:tcPr>
          <w:p>
            <w:pPr>
              <w:jc w:val="left"/>
            </w:pPr>
            <w:r>
              <w:rPr>
                <w:b w:val="false"/>
                <w:bCs w:val="false"/>
                <w:color w:val="000000"/>
                <w:sz w:val="20"/>
                <w:szCs w:val="20"/>
              </w:rPr>
              <w:t xml:space="preserve">Coffee</w:t>
            </w:r>
          </w:p>
        </w:tc>
        <w:tc>
          <w:tcPr>
            <w:tcW w:type="dxa" w:w="2740"/>
          </w:tcPr>
          <w:p>
            <w:pPr>
              <w:jc w:val="left"/>
            </w:pPr>
            <w:r>
              <w:rPr>
                <w:b w:val="false"/>
                <w:bCs w:val="false"/>
                <w:color w:val="000000"/>
                <w:sz w:val="20"/>
                <w:szCs w:val="20"/>
              </w:rPr>
              <w:t xml:space="preserve">269,952.45</w:t>
            </w:r>
          </w:p>
        </w:tc>
        <w:tc>
          <w:tcPr>
            <w:tcW w:type="dxa" w:w="2800"/>
          </w:tcPr>
          <w:p>
            <w:pPr>
              <w:jc w:val="left"/>
            </w:pPr>
            <w:r>
              <w:rPr>
                <w:b w:val="false"/>
                <w:bCs w:val="false"/>
                <w:color w:val="000000"/>
                <w:sz w:val="20"/>
                <w:szCs w:val="20"/>
              </w:rPr>
              <w:t xml:space="preserve">38.63%</w:t>
            </w:r>
          </w:p>
        </w:tc>
      </w:tr>
      <w:tr>
        <w:tc>
          <w:tcPr>
            <w:tcW w:type="dxa" w:w="4200"/>
          </w:tcPr>
          <w:p>
            <w:pPr>
              <w:jc w:val="left"/>
            </w:pPr>
            <w:r>
              <w:rPr>
                <w:b w:val="false"/>
                <w:bCs w:val="false"/>
                <w:color w:val="000000"/>
                <w:sz w:val="20"/>
                <w:szCs w:val="20"/>
              </w:rPr>
              <w:t xml:space="preserve">Tea</w:t>
            </w:r>
          </w:p>
        </w:tc>
        <w:tc>
          <w:tcPr>
            <w:tcW w:type="dxa" w:w="2740"/>
          </w:tcPr>
          <w:p>
            <w:pPr>
              <w:jc w:val="left"/>
            </w:pPr>
            <w:r>
              <w:rPr>
                <w:b w:val="false"/>
                <w:bCs w:val="false"/>
                <w:color w:val="000000"/>
                <w:sz w:val="20"/>
                <w:szCs w:val="20"/>
              </w:rPr>
              <w:t xml:space="preserve">196,405.95</w:t>
            </w:r>
          </w:p>
        </w:tc>
        <w:tc>
          <w:tcPr>
            <w:tcW w:type="dxa" w:w="2800"/>
          </w:tcPr>
          <w:p>
            <w:pPr>
              <w:jc w:val="left"/>
            </w:pPr>
            <w:r>
              <w:rPr>
                <w:b w:val="false"/>
                <w:bCs w:val="false"/>
                <w:color w:val="000000"/>
                <w:sz w:val="20"/>
                <w:szCs w:val="20"/>
              </w:rPr>
              <w:t xml:space="preserve">28.11%</w:t>
            </w:r>
          </w:p>
        </w:tc>
      </w:tr>
      <w:tr>
        <w:tc>
          <w:tcPr>
            <w:tcW w:type="dxa" w:w="4200"/>
          </w:tcPr>
          <w:p>
            <w:pPr>
              <w:jc w:val="left"/>
            </w:pPr>
            <w:r>
              <w:rPr>
                <w:b w:val="false"/>
                <w:bCs w:val="false"/>
                <w:color w:val="000000"/>
                <w:sz w:val="20"/>
                <w:szCs w:val="20"/>
              </w:rPr>
              <w:t xml:space="preserve">Bakery</w:t>
            </w:r>
          </w:p>
        </w:tc>
        <w:tc>
          <w:tcPr>
            <w:tcW w:type="dxa" w:w="2740"/>
          </w:tcPr>
          <w:p>
            <w:pPr>
              <w:jc w:val="left"/>
            </w:pPr>
            <w:r>
              <w:rPr>
                <w:b w:val="false"/>
                <w:bCs w:val="false"/>
                <w:color w:val="000000"/>
                <w:sz w:val="20"/>
                <w:szCs w:val="20"/>
              </w:rPr>
              <w:t xml:space="preserve">82,315.64</w:t>
            </w:r>
          </w:p>
        </w:tc>
        <w:tc>
          <w:tcPr>
            <w:tcW w:type="dxa" w:w="2800"/>
          </w:tcPr>
          <w:p>
            <w:pPr>
              <w:jc w:val="left"/>
            </w:pPr>
            <w:r>
              <w:rPr>
                <w:b w:val="false"/>
                <w:bCs w:val="false"/>
                <w:color w:val="000000"/>
                <w:sz w:val="20"/>
                <w:szCs w:val="20"/>
              </w:rPr>
              <w:t xml:space="preserve">11.78%</w:t>
            </w:r>
          </w:p>
        </w:tc>
      </w:tr>
      <w:tr>
        <w:tc>
          <w:tcPr>
            <w:tcW w:type="dxa" w:w="4200"/>
          </w:tcPr>
          <w:p>
            <w:pPr>
              <w:jc w:val="left"/>
            </w:pPr>
            <w:r>
              <w:rPr>
                <w:b w:val="false"/>
                <w:bCs w:val="false"/>
                <w:color w:val="000000"/>
                <w:sz w:val="20"/>
                <w:szCs w:val="20"/>
              </w:rPr>
              <w:t xml:space="preserve">Drinking Chocolate</w:t>
            </w:r>
          </w:p>
        </w:tc>
        <w:tc>
          <w:tcPr>
            <w:tcW w:type="dxa" w:w="2740"/>
          </w:tcPr>
          <w:p>
            <w:pPr>
              <w:jc w:val="left"/>
            </w:pPr>
            <w:r>
              <w:rPr>
                <w:b w:val="false"/>
                <w:bCs w:val="false"/>
                <w:color w:val="000000"/>
                <w:sz w:val="20"/>
                <w:szCs w:val="20"/>
              </w:rPr>
              <w:t xml:space="preserve">72,416.00</w:t>
            </w:r>
          </w:p>
        </w:tc>
        <w:tc>
          <w:tcPr>
            <w:tcW w:type="dxa" w:w="2800"/>
          </w:tcPr>
          <w:p>
            <w:pPr>
              <w:jc w:val="left"/>
            </w:pPr>
            <w:r>
              <w:rPr>
                <w:b w:val="false"/>
                <w:bCs w:val="false"/>
                <w:color w:val="000000"/>
                <w:sz w:val="20"/>
                <w:szCs w:val="20"/>
              </w:rPr>
              <w:t xml:space="preserve">10.36%</w:t>
            </w:r>
          </w:p>
        </w:tc>
      </w:tr>
      <w:tr>
        <w:tc>
          <w:tcPr>
            <w:tcW w:type="dxa" w:w="4200"/>
          </w:tcPr>
          <w:p>
            <w:pPr>
              <w:jc w:val="left"/>
            </w:pPr>
            <w:r>
              <w:rPr>
                <w:b w:val="false"/>
                <w:bCs w:val="false"/>
                <w:color w:val="000000"/>
                <w:sz w:val="20"/>
                <w:szCs w:val="20"/>
              </w:rPr>
              <w:t xml:space="preserve">Coffee beans</w:t>
            </w:r>
          </w:p>
        </w:tc>
        <w:tc>
          <w:tcPr>
            <w:tcW w:type="dxa" w:w="2740"/>
          </w:tcPr>
          <w:p>
            <w:pPr>
              <w:jc w:val="left"/>
            </w:pPr>
            <w:r>
              <w:rPr>
                <w:b w:val="false"/>
                <w:bCs w:val="false"/>
                <w:color w:val="000000"/>
                <w:sz w:val="20"/>
                <w:szCs w:val="20"/>
              </w:rPr>
              <w:t xml:space="preserve">40,085.25</w:t>
            </w:r>
          </w:p>
        </w:tc>
        <w:tc>
          <w:tcPr>
            <w:tcW w:type="dxa" w:w="2800"/>
          </w:tcPr>
          <w:p>
            <w:pPr>
              <w:jc w:val="left"/>
            </w:pPr>
            <w:r>
              <w:rPr>
                <w:b w:val="false"/>
                <w:bCs w:val="false"/>
                <w:color w:val="000000"/>
                <w:sz w:val="20"/>
                <w:szCs w:val="20"/>
              </w:rPr>
              <w:t xml:space="preserve">5.74%</w:t>
            </w:r>
          </w:p>
        </w:tc>
      </w:tr>
      <w:tr>
        <w:tc>
          <w:tcPr>
            <w:tcW w:type="dxa" w:w="4200"/>
          </w:tcPr>
          <w:p>
            <w:pPr>
              <w:jc w:val="left"/>
            </w:pPr>
            <w:r>
              <w:rPr>
                <w:b w:val="false"/>
                <w:bCs w:val="false"/>
                <w:color w:val="000000"/>
                <w:sz w:val="20"/>
                <w:szCs w:val="20"/>
              </w:rPr>
              <w:t xml:space="preserve">Branded</w:t>
            </w:r>
          </w:p>
        </w:tc>
        <w:tc>
          <w:tcPr>
            <w:tcW w:type="dxa" w:w="2740"/>
          </w:tcPr>
          <w:p>
            <w:pPr>
              <w:jc w:val="left"/>
            </w:pPr>
            <w:r>
              <w:rPr>
                <w:b w:val="false"/>
                <w:bCs w:val="false"/>
                <w:color w:val="000000"/>
                <w:sz w:val="20"/>
                <w:szCs w:val="20"/>
              </w:rPr>
              <w:t xml:space="preserve">13,607.00</w:t>
            </w:r>
          </w:p>
        </w:tc>
        <w:tc>
          <w:tcPr>
            <w:tcW w:type="dxa" w:w="2800"/>
          </w:tcPr>
          <w:p>
            <w:pPr>
              <w:jc w:val="left"/>
            </w:pPr>
            <w:r>
              <w:rPr>
                <w:b w:val="false"/>
                <w:bCs w:val="false"/>
                <w:color w:val="000000"/>
                <w:sz w:val="20"/>
                <w:szCs w:val="20"/>
              </w:rPr>
              <w:t xml:space="preserve">1.95%</w:t>
            </w:r>
          </w:p>
        </w:tc>
      </w:tr>
      <w:tr>
        <w:tc>
          <w:tcPr>
            <w:tcW w:type="dxa" w:w="4200"/>
          </w:tcPr>
          <w:p>
            <w:pPr>
              <w:jc w:val="left"/>
            </w:pPr>
            <w:r>
              <w:rPr>
                <w:b w:val="false"/>
                <w:bCs w:val="false"/>
                <w:color w:val="000000"/>
                <w:sz w:val="20"/>
                <w:szCs w:val="20"/>
              </w:rPr>
              <w:t xml:space="preserve">Loose Tea</w:t>
            </w:r>
          </w:p>
        </w:tc>
        <w:tc>
          <w:tcPr>
            <w:tcW w:type="dxa" w:w="2740"/>
          </w:tcPr>
          <w:p>
            <w:pPr>
              <w:jc w:val="left"/>
            </w:pPr>
            <w:r>
              <w:rPr>
                <w:b w:val="false"/>
                <w:bCs w:val="false"/>
                <w:color w:val="000000"/>
                <w:sz w:val="20"/>
                <w:szCs w:val="20"/>
              </w:rPr>
              <w:t xml:space="preserve">11,213.60</w:t>
            </w:r>
          </w:p>
        </w:tc>
        <w:tc>
          <w:tcPr>
            <w:tcW w:type="dxa" w:w="2800"/>
          </w:tcPr>
          <w:p>
            <w:pPr>
              <w:jc w:val="left"/>
            </w:pPr>
            <w:r>
              <w:rPr>
                <w:b w:val="false"/>
                <w:bCs w:val="false"/>
                <w:color w:val="000000"/>
                <w:sz w:val="20"/>
                <w:szCs w:val="20"/>
              </w:rPr>
              <w:t xml:space="preserve">1.60%</w:t>
            </w:r>
          </w:p>
        </w:tc>
      </w:tr>
      <w:tr>
        <w:tc>
          <w:tcPr>
            <w:tcW w:type="dxa" w:w="4200"/>
          </w:tcPr>
          <w:p>
            <w:pPr>
              <w:jc w:val="left"/>
            </w:pPr>
            <w:r>
              <w:rPr>
                <w:b w:val="false"/>
                <w:bCs w:val="false"/>
                <w:color w:val="000000"/>
                <w:sz w:val="20"/>
                <w:szCs w:val="20"/>
              </w:rPr>
              <w:t xml:space="preserve">Flavours</w:t>
            </w:r>
          </w:p>
        </w:tc>
        <w:tc>
          <w:tcPr>
            <w:tcW w:type="dxa" w:w="2740"/>
          </w:tcPr>
          <w:p>
            <w:pPr>
              <w:jc w:val="left"/>
            </w:pPr>
            <w:r>
              <w:rPr>
                <w:b w:val="false"/>
                <w:bCs w:val="false"/>
                <w:color w:val="000000"/>
                <w:sz w:val="20"/>
                <w:szCs w:val="20"/>
              </w:rPr>
              <w:t xml:space="preserve">8,408.80</w:t>
            </w:r>
          </w:p>
        </w:tc>
        <w:tc>
          <w:tcPr>
            <w:tcW w:type="dxa" w:w="2800"/>
          </w:tcPr>
          <w:p>
            <w:pPr>
              <w:jc w:val="left"/>
            </w:pPr>
            <w:r>
              <w:rPr>
                <w:b w:val="false"/>
                <w:bCs w:val="false"/>
                <w:color w:val="000000"/>
                <w:sz w:val="20"/>
                <w:szCs w:val="20"/>
              </w:rPr>
              <w:t xml:space="preserve">1.20%</w:t>
            </w:r>
          </w:p>
        </w:tc>
      </w:tr>
      <w:tr>
        <w:tc>
          <w:tcPr>
            <w:tcW w:type="dxa" w:w="4200"/>
          </w:tcPr>
          <w:p>
            <w:pPr>
              <w:jc w:val="left"/>
            </w:pPr>
            <w:r>
              <w:rPr>
                <w:b w:val="false"/>
                <w:bCs w:val="false"/>
                <w:color w:val="000000"/>
                <w:sz w:val="20"/>
                <w:szCs w:val="20"/>
              </w:rPr>
              <w:t xml:space="preserve">Packaged Chocolate</w:t>
            </w:r>
          </w:p>
        </w:tc>
        <w:tc>
          <w:tcPr>
            <w:tcW w:type="dxa" w:w="2740"/>
          </w:tcPr>
          <w:p>
            <w:pPr>
              <w:jc w:val="left"/>
            </w:pPr>
            <w:r>
              <w:rPr>
                <w:b w:val="false"/>
                <w:bCs w:val="false"/>
                <w:color w:val="000000"/>
                <w:sz w:val="20"/>
                <w:szCs w:val="20"/>
              </w:rPr>
              <w:t xml:space="preserve">4,407.64</w:t>
            </w:r>
          </w:p>
        </w:tc>
        <w:tc>
          <w:tcPr>
            <w:tcW w:type="dxa" w:w="2800"/>
          </w:tcPr>
          <w:p>
            <w:pPr>
              <w:jc w:val="left"/>
            </w:pPr>
            <w:r>
              <w:rPr>
                <w:b w:val="false"/>
                <w:bCs w:val="false"/>
                <w:color w:val="000000"/>
                <w:sz w:val="20"/>
                <w:szCs w:val="20"/>
              </w:rPr>
              <w:t xml:space="preserve">0.63%</w:t>
            </w:r>
          </w:p>
        </w:tc>
      </w:tr>
    </w:tbl>
    <w:p>
      <w:pPr>
        <w:spacing w:after="160"/>
      </w:pPr>
      <w:r>
        <w:t xml:space="preserve"/>
      </w:r>
    </w:p>
    <w:p>
      <w:pPr>
        <w:spacing w:after="160"/>
      </w:pPr>
      <w:r>
        <w:t xml:space="preserve">Coffee and Tea together account for 66.7% of total revenue. This concentration indicates the business is meaningfully dependent on these two categories — a strategic strength (clear core identity) but also a risk if demand for either category shifts.</w:t>
      </w:r>
    </w:p>
    <w:p>
      <w:pPr>
        <w:pStyle w:val="Heading2"/>
        <w:spacing w:after="150" w:before="300"/>
      </w:pPr>
      <w:r>
        <w:t xml:space="preserve">4.5 Revenue Concentration — Pareto (80/20) Analysis</w:t>
      </w:r>
    </w:p>
    <w:p>
      <w:pPr>
        <w:spacing w:after="160"/>
      </w:pPr>
      <w:r>
        <w:t xml:space="preserve">Ranking all 29 product types by revenue and examining cumulative contribution shows that a small subset of the menu drives the large majority of revenue:</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6200"/>
        <w:gridCol w:w="3540"/>
      </w:tblGrid>
      <w:tr>
        <w:trPr>
          <w:tblHeader/>
        </w:trPr>
        <w:tc>
          <w:tcPr>
            <w:tcW w:type="dxa" w:w="6200"/>
            <w:shd w:fill="1F3864" w:color="auto" w:val="clear"/>
          </w:tcPr>
          <w:p>
            <w:pPr>
              <w:jc w:val="left"/>
            </w:pPr>
            <w:r>
              <w:rPr>
                <w:b/>
                <w:bCs/>
                <w:color w:val="FFFFFF"/>
                <w:sz w:val="20"/>
                <w:szCs w:val="20"/>
              </w:rPr>
              <w:t xml:space="preserve">Metric</w:t>
            </w:r>
          </w:p>
        </w:tc>
        <w:tc>
          <w:tcPr>
            <w:tcW w:type="dxa" w:w="3540"/>
            <w:shd w:fill="1F3864" w:color="auto" w:val="clear"/>
          </w:tcPr>
          <w:p>
            <w:pPr>
              <w:jc w:val="left"/>
            </w:pPr>
            <w:r>
              <w:rPr>
                <w:b/>
                <w:bCs/>
                <w:color w:val="FFFFFF"/>
                <w:sz w:val="20"/>
                <w:szCs w:val="20"/>
              </w:rPr>
              <w:t xml:space="preserve">Value</w:t>
            </w:r>
          </w:p>
        </w:tc>
      </w:tr>
      <w:tr>
        <w:tc>
          <w:tcPr>
            <w:tcW w:type="dxa" w:w="6200"/>
          </w:tcPr>
          <w:p>
            <w:pPr>
              <w:jc w:val="left"/>
            </w:pPr>
            <w:r>
              <w:rPr>
                <w:b w:val="false"/>
                <w:bCs w:val="false"/>
                <w:color w:val="000000"/>
                <w:sz w:val="20"/>
                <w:szCs w:val="20"/>
              </w:rPr>
              <w:t xml:space="preserve">Product types generating ~80% of revenue</w:t>
            </w:r>
          </w:p>
        </w:tc>
        <w:tc>
          <w:tcPr>
            <w:tcW w:type="dxa" w:w="3540"/>
          </w:tcPr>
          <w:p>
            <w:pPr>
              <w:jc w:val="left"/>
            </w:pPr>
            <w:r>
              <w:rPr>
                <w:b w:val="false"/>
                <w:bCs w:val="false"/>
                <w:color w:val="000000"/>
                <w:sz w:val="20"/>
                <w:szCs w:val="20"/>
              </w:rPr>
              <w:t xml:space="preserve">10 of 29 (34.5%)</w:t>
            </w:r>
          </w:p>
        </w:tc>
      </w:tr>
      <w:tr>
        <w:tc>
          <w:tcPr>
            <w:tcW w:type="dxa" w:w="6200"/>
          </w:tcPr>
          <w:p>
            <w:pPr>
              <w:jc w:val="left"/>
            </w:pPr>
            <w:r>
              <w:rPr>
                <w:b w:val="false"/>
                <w:bCs w:val="false"/>
                <w:color w:val="000000"/>
                <w:sz w:val="20"/>
                <w:szCs w:val="20"/>
              </w:rPr>
              <w:t xml:space="preserve">Revenue share of top 10 product types</w:t>
            </w:r>
          </w:p>
        </w:tc>
        <w:tc>
          <w:tcPr>
            <w:tcW w:type="dxa" w:w="3540"/>
          </w:tcPr>
          <w:p>
            <w:pPr>
              <w:jc w:val="left"/>
            </w:pPr>
            <w:r>
              <w:rPr>
                <w:b w:val="false"/>
                <w:bCs w:val="false"/>
                <w:color w:val="000000"/>
                <w:sz w:val="20"/>
                <w:szCs w:val="20"/>
              </w:rPr>
              <w:t xml:space="preserve">78.96%</w:t>
            </w:r>
          </w:p>
        </w:tc>
      </w:tr>
      <w:tr>
        <w:tc>
          <w:tcPr>
            <w:tcW w:type="dxa" w:w="6200"/>
          </w:tcPr>
          <w:p>
            <w:pPr>
              <w:jc w:val="left"/>
            </w:pPr>
            <w:r>
              <w:rPr>
                <w:b w:val="false"/>
                <w:bCs w:val="false"/>
                <w:color w:val="000000"/>
                <w:sz w:val="20"/>
                <w:szCs w:val="20"/>
              </w:rPr>
              <w:t xml:space="preserve">Revenue share of remaining 19 product types (long tail)</w:t>
            </w:r>
          </w:p>
        </w:tc>
        <w:tc>
          <w:tcPr>
            <w:tcW w:type="dxa" w:w="3540"/>
          </w:tcPr>
          <w:p>
            <w:pPr>
              <w:jc w:val="left"/>
            </w:pPr>
            <w:r>
              <w:rPr>
                <w:b w:val="false"/>
                <w:bCs w:val="false"/>
                <w:color w:val="000000"/>
                <w:sz w:val="20"/>
                <w:szCs w:val="20"/>
              </w:rPr>
              <w:t xml:space="preserve">~21%</w:t>
            </w:r>
          </w:p>
        </w:tc>
      </w:tr>
    </w:tbl>
    <w:p>
      <w:pPr>
        <w:spacing w:after="160"/>
      </w:pPr>
      <w:r>
        <w:t xml:space="preserve"/>
      </w:r>
    </w:p>
    <w:p>
      <w:pPr>
        <w:spacing w:after="160"/>
      </w:pPr>
      <w:r>
        <w:t xml:space="preserve">This is the central finding of the analysis: roughly one-third of the product line (the 10 revenue-anchor products — led by Barista Espresso, Brewed Chai tea, Hot chocolate, and Gourmet brewed coffee) generates nearly four-fifths of total revenue. The remaining ~19 product types form a long tail that contributes only about a fifth of revenue between them, despite adding menu complexity, inventory overhead, and operational load.</w:t>
      </w:r>
    </w:p>
    <w:p>
      <w:pPr>
        <w:pStyle w:val="Heading1"/>
        <w:spacing w:after="200" w:before="400"/>
      </w:pPr>
      <w:r>
        <w:t xml:space="preserve">5. Key Performance Indicators (KPIs)</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540"/>
      </w:tblGrid>
      <w:tr>
        <w:trPr>
          <w:tblHeader/>
        </w:trPr>
        <w:tc>
          <w:tcPr>
            <w:tcW w:type="dxa" w:w="2600"/>
            <w:shd w:fill="1F3864" w:color="auto" w:val="clear"/>
          </w:tcPr>
          <w:p>
            <w:pPr>
              <w:jc w:val="left"/>
            </w:pPr>
            <w:r>
              <w:rPr>
                <w:b/>
                <w:bCs/>
                <w:color w:val="FFFFFF"/>
                <w:sz w:val="20"/>
                <w:szCs w:val="20"/>
              </w:rPr>
              <w:t xml:space="preserve">KPI</w:t>
            </w:r>
          </w:p>
        </w:tc>
        <w:tc>
          <w:tcPr>
            <w:tcW w:type="dxa" w:w="2600"/>
            <w:shd w:fill="1F3864" w:color="auto" w:val="clear"/>
          </w:tcPr>
          <w:p>
            <w:pPr>
              <w:jc w:val="left"/>
            </w:pPr>
            <w:r>
              <w:rPr>
                <w:b/>
                <w:bCs/>
                <w:color w:val="FFFFFF"/>
                <w:sz w:val="20"/>
                <w:szCs w:val="20"/>
              </w:rPr>
              <w:t xml:space="preserve">Description</w:t>
            </w:r>
          </w:p>
        </w:tc>
        <w:tc>
          <w:tcPr>
            <w:tcW w:type="dxa" w:w="4540"/>
            <w:shd w:fill="1F3864" w:color="auto" w:val="clear"/>
          </w:tcPr>
          <w:p>
            <w:pPr>
              <w:jc w:val="left"/>
            </w:pPr>
            <w:r>
              <w:rPr>
                <w:b/>
                <w:bCs/>
                <w:color w:val="FFFFFF"/>
                <w:sz w:val="20"/>
                <w:szCs w:val="20"/>
              </w:rPr>
              <w:t xml:space="preserve">Key Result</w:t>
            </w:r>
          </w:p>
        </w:tc>
      </w:tr>
      <w:tr>
        <w:tc>
          <w:tcPr>
            <w:tcW w:type="dxa" w:w="2600"/>
          </w:tcPr>
          <w:p>
            <w:pPr>
              <w:jc w:val="left"/>
            </w:pPr>
            <w:r>
              <w:rPr>
                <w:b w:val="false"/>
                <w:bCs w:val="false"/>
                <w:color w:val="000000"/>
                <w:sz w:val="20"/>
                <w:szCs w:val="20"/>
              </w:rPr>
              <w:t xml:space="preserve">Product Revenue Contribution (%)</w:t>
            </w:r>
          </w:p>
        </w:tc>
        <w:tc>
          <w:tcPr>
            <w:tcW w:type="dxa" w:w="2600"/>
          </w:tcPr>
          <w:p>
            <w:pPr>
              <w:jc w:val="left"/>
            </w:pPr>
            <w:r>
              <w:rPr>
                <w:b w:val="false"/>
                <w:bCs w:val="false"/>
                <w:color w:val="000000"/>
                <w:sz w:val="20"/>
                <w:szCs w:val="20"/>
              </w:rPr>
              <w:t xml:space="preserve">Share of total revenue</w:t>
            </w:r>
          </w:p>
        </w:tc>
        <w:tc>
          <w:tcPr>
            <w:tcW w:type="dxa" w:w="4540"/>
          </w:tcPr>
          <w:p>
            <w:pPr>
              <w:jc w:val="left"/>
            </w:pPr>
            <w:r>
              <w:rPr>
                <w:b w:val="false"/>
                <w:bCs w:val="false"/>
                <w:color w:val="000000"/>
                <w:sz w:val="20"/>
                <w:szCs w:val="20"/>
              </w:rPr>
              <w:t xml:space="preserve">Barista Espresso leads at 13.08%</w:t>
            </w:r>
          </w:p>
        </w:tc>
      </w:tr>
      <w:tr>
        <w:tc>
          <w:tcPr>
            <w:tcW w:type="dxa" w:w="2600"/>
          </w:tcPr>
          <w:p>
            <w:pPr>
              <w:jc w:val="left"/>
            </w:pPr>
            <w:r>
              <w:rPr>
                <w:b w:val="false"/>
                <w:bCs w:val="false"/>
                <w:color w:val="000000"/>
                <w:sz w:val="20"/>
                <w:szCs w:val="20"/>
              </w:rPr>
              <w:t xml:space="preserve">Product Sales Volume</w:t>
            </w:r>
          </w:p>
        </w:tc>
        <w:tc>
          <w:tcPr>
            <w:tcW w:type="dxa" w:w="2600"/>
          </w:tcPr>
          <w:p>
            <w:pPr>
              <w:jc w:val="left"/>
            </w:pPr>
            <w:r>
              <w:rPr>
                <w:b w:val="false"/>
                <w:bCs w:val="false"/>
                <w:color w:val="000000"/>
                <w:sz w:val="20"/>
                <w:szCs w:val="20"/>
              </w:rPr>
              <w:t xml:space="preserve">Popularity indicator</w:t>
            </w:r>
          </w:p>
        </w:tc>
        <w:tc>
          <w:tcPr>
            <w:tcW w:type="dxa" w:w="4540"/>
          </w:tcPr>
          <w:p>
            <w:pPr>
              <w:jc w:val="left"/>
            </w:pPr>
            <w:r>
              <w:rPr>
                <w:b w:val="false"/>
                <w:bCs w:val="false"/>
                <w:color w:val="000000"/>
                <w:sz w:val="20"/>
                <w:szCs w:val="20"/>
              </w:rPr>
              <w:t xml:space="preserve">Brewed Chai tea leads at 26,250 units</w:t>
            </w:r>
          </w:p>
        </w:tc>
      </w:tr>
      <w:tr>
        <w:tc>
          <w:tcPr>
            <w:tcW w:type="dxa" w:w="2600"/>
          </w:tcPr>
          <w:p>
            <w:pPr>
              <w:jc w:val="left"/>
            </w:pPr>
            <w:r>
              <w:rPr>
                <w:b w:val="false"/>
                <w:bCs w:val="false"/>
                <w:color w:val="000000"/>
                <w:sz w:val="20"/>
                <w:szCs w:val="20"/>
              </w:rPr>
              <w:t xml:space="preserve">Category Revenue Share</w:t>
            </w:r>
          </w:p>
        </w:tc>
        <w:tc>
          <w:tcPr>
            <w:tcW w:type="dxa" w:w="2600"/>
          </w:tcPr>
          <w:p>
            <w:pPr>
              <w:jc w:val="left"/>
            </w:pPr>
            <w:r>
              <w:rPr>
                <w:b w:val="false"/>
                <w:bCs w:val="false"/>
                <w:color w:val="000000"/>
                <w:sz w:val="20"/>
                <w:szCs w:val="20"/>
              </w:rPr>
              <w:t xml:space="preserve">Business dependency</w:t>
            </w:r>
          </w:p>
        </w:tc>
        <w:tc>
          <w:tcPr>
            <w:tcW w:type="dxa" w:w="4540"/>
          </w:tcPr>
          <w:p>
            <w:pPr>
              <w:jc w:val="left"/>
            </w:pPr>
            <w:r>
              <w:rPr>
                <w:b w:val="false"/>
                <w:bCs w:val="false"/>
                <w:color w:val="000000"/>
                <w:sz w:val="20"/>
                <w:szCs w:val="20"/>
              </w:rPr>
              <w:t xml:space="preserve">Coffee 38.63%, Tea 28.11% (66.7% combined)</w:t>
            </w:r>
          </w:p>
        </w:tc>
      </w:tr>
      <w:tr>
        <w:tc>
          <w:tcPr>
            <w:tcW w:type="dxa" w:w="2600"/>
          </w:tcPr>
          <w:p>
            <w:pPr>
              <w:jc w:val="left"/>
            </w:pPr>
            <w:r>
              <w:rPr>
                <w:b w:val="false"/>
                <w:bCs w:val="false"/>
                <w:color w:val="000000"/>
                <w:sz w:val="20"/>
                <w:szCs w:val="20"/>
              </w:rPr>
              <w:t xml:space="preserve">Revenue Concentration Ratio</w:t>
            </w:r>
          </w:p>
        </w:tc>
        <w:tc>
          <w:tcPr>
            <w:tcW w:type="dxa" w:w="2600"/>
          </w:tcPr>
          <w:p>
            <w:pPr>
              <w:jc w:val="left"/>
            </w:pPr>
            <w:r>
              <w:rPr>
                <w:b w:val="false"/>
                <w:bCs w:val="false"/>
                <w:color w:val="000000"/>
                <w:sz w:val="20"/>
                <w:szCs w:val="20"/>
              </w:rPr>
              <w:t xml:space="preserve">Menu risk exposure</w:t>
            </w:r>
          </w:p>
        </w:tc>
        <w:tc>
          <w:tcPr>
            <w:tcW w:type="dxa" w:w="4540"/>
          </w:tcPr>
          <w:p>
            <w:pPr>
              <w:jc w:val="left"/>
            </w:pPr>
            <w:r>
              <w:rPr>
                <w:b w:val="false"/>
                <w:bCs w:val="false"/>
                <w:color w:val="000000"/>
                <w:sz w:val="20"/>
                <w:szCs w:val="20"/>
              </w:rPr>
              <w:t xml:space="preserve">78.96% of revenue from top 10 of 29 product types</w:t>
            </w:r>
          </w:p>
        </w:tc>
      </w:tr>
      <w:tr>
        <w:tc>
          <w:tcPr>
            <w:tcW w:type="dxa" w:w="2600"/>
          </w:tcPr>
          <w:p>
            <w:pPr>
              <w:jc w:val="left"/>
            </w:pPr>
            <w:r>
              <w:rPr>
                <w:b w:val="false"/>
                <w:bCs w:val="false"/>
                <w:color w:val="000000"/>
                <w:sz w:val="20"/>
                <w:szCs w:val="20"/>
              </w:rPr>
              <w:t xml:space="preserve">Product Efficiency Score</w:t>
            </w:r>
          </w:p>
        </w:tc>
        <w:tc>
          <w:tcPr>
            <w:tcW w:type="dxa" w:w="2600"/>
          </w:tcPr>
          <w:p>
            <w:pPr>
              <w:jc w:val="left"/>
            </w:pPr>
            <w:r>
              <w:rPr>
                <w:b w:val="false"/>
                <w:bCs w:val="false"/>
                <w:color w:val="000000"/>
                <w:sz w:val="20"/>
                <w:szCs w:val="20"/>
              </w:rPr>
              <w:t xml:space="preserve">Revenue per unit sold</w:t>
            </w:r>
          </w:p>
        </w:tc>
        <w:tc>
          <w:tcPr>
            <w:tcW w:type="dxa" w:w="4540"/>
          </w:tcPr>
          <w:p>
            <w:pPr>
              <w:jc w:val="left"/>
            </w:pPr>
            <w:r>
              <w:rPr>
                <w:b w:val="false"/>
                <w:bCs w:val="false"/>
                <w:color w:val="000000"/>
                <w:sz w:val="20"/>
                <w:szCs w:val="20"/>
              </w:rPr>
              <w:t xml:space="preserve">Premium Beans leads at ₹35.92/unit</w:t>
            </w:r>
          </w:p>
        </w:tc>
      </w:tr>
    </w:tbl>
    <w:p>
      <w:pPr>
        <w:spacing w:after="160"/>
      </w:pPr>
      <w:r>
        <w:t xml:space="preserve"/>
      </w:r>
    </w:p>
    <w:p>
      <w:pPr>
        <w:spacing w:after="160"/>
      </w:pPr>
      <w:r>
        <w:t xml:space="preserve">The Product Efficiency Score (revenue ÷ units sold) surfaces a different view from raw revenue: items like Premium Beans, Clothing, and Organic Beans generate the most revenue per unit sold, even though their total volumes are low. These are high-margin, low-volume specialty items rather than everyday high-traffic items such as Brewed Chai tea, which has a much lower efficiency score (₹9.71/unit) despite topping the volume chart.</w:t>
      </w:r>
    </w:p>
    <w:p>
      <w:pPr>
        <w:pStyle w:val="Heading1"/>
        <w:spacing w:after="200" w:before="400"/>
      </w:pPr>
      <w:r>
        <w:t xml:space="preserve">6. Recommendations</w:t>
      </w:r>
    </w:p>
    <w:p>
      <w:pPr>
        <w:pStyle w:val="ListParagraph"/>
        <w:numPr>
          <w:ilvl w:val="0"/>
          <w:numId w:val="2"/>
        </w:numPr>
        <w:spacing w:after="80"/>
      </w:pPr>
      <w:r>
        <w:t xml:space="preserve">Protect and promote the top 10 revenue-anchor products (led by Barista Espresso, Brewed Chai tea, Hot chocolate, and Gourmet brewed coffee) — they drive ~79% of revenue and should anchor menu design, staffing, and inventory priorities.</w:t>
      </w:r>
    </w:p>
    <w:p>
      <w:pPr>
        <w:pStyle w:val="ListParagraph"/>
        <w:numPr>
          <w:ilvl w:val="0"/>
          <w:numId w:val="2"/>
        </w:numPr>
        <w:spacing w:after="80"/>
      </w:pPr>
      <w:r>
        <w:t xml:space="preserve">Review the long-tail products (the ~19 product types contributing only ~21% of revenue combined) for potential simplification — either through targeted promotion to raise their contribution, repricing, or discontinuation of the weakest performers.</w:t>
      </w:r>
    </w:p>
    <w:p>
      <w:pPr>
        <w:pStyle w:val="ListParagraph"/>
        <w:numPr>
          <w:ilvl w:val="0"/>
          <w:numId w:val="2"/>
        </w:numPr>
        <w:spacing w:after="80"/>
      </w:pPr>
      <w:r>
        <w:t xml:space="preserve">Investigate underperforming-relative-to-volume items (e.g. Sugar free syrup, Regular syrup) — these sell in moderate volume but contribute disproportionately little revenue, suggesting a pricing or margin issue worth a closer look.</w:t>
      </w:r>
    </w:p>
    <w:p>
      <w:pPr>
        <w:pStyle w:val="ListParagraph"/>
        <w:numPr>
          <w:ilvl w:val="0"/>
          <w:numId w:val="2"/>
        </w:numPr>
        <w:spacing w:after="80"/>
      </w:pPr>
      <w:r>
        <w:t xml:space="preserve">Leverage high-efficiency niche items (e.g. Premium Beans, Organic Beans) as premium/upsell offerings, since they generate strong revenue per unit despite low volume.</w:t>
      </w:r>
    </w:p>
    <w:p>
      <w:pPr>
        <w:pStyle w:val="ListParagraph"/>
        <w:numPr>
          <w:ilvl w:val="0"/>
          <w:numId w:val="2"/>
        </w:numPr>
        <w:spacing w:after="80"/>
      </w:pPr>
      <w:r>
        <w:t xml:space="preserve">Monitor category concentration risk — with Coffee and Tea contributing two-thirds of revenue, the business should track early signals of demand shifts in these categories and consider gradual diversification.</w:t>
      </w:r>
    </w:p>
    <w:p>
      <w:pPr>
        <w:pStyle w:val="Heading1"/>
        <w:spacing w:after="200" w:before="400"/>
      </w:pPr>
      <w:r>
        <w:t xml:space="preserve">7. Conclusion</w:t>
      </w:r>
    </w:p>
    <w:p>
      <w:pPr>
        <w:spacing w:after="160"/>
      </w:pPr>
      <w:r>
        <w:t xml:space="preserve">This project delivers actionable product intelligence by shifting focus from when customers buy to what they buy and what drives revenue. By uncovering product-level performance and revenue concentration patterns, Afficionado Coffee Roasters can optimize its menu, improve operational efficiency, and strengthen long-term profitability. The accompanying Streamlit dashboard makes these findings explorable on an ongoing basis, with filters for category, store location, and top-N product views.</w:t>
      </w:r>
    </w:p>
    <w:p>
      <w:pPr>
        <w:pStyle w:val="Heading1"/>
        <w:spacing w:after="200" w:before="400"/>
      </w:pPr>
      <w:r>
        <w:t xml:space="preserve">Appendix: Supporting Visuals</w:t>
      </w:r>
    </w:p>
    <w:p>
      <w:pPr>
        <w:spacing w:after="160"/>
      </w:pPr>
      <w:r>
        <w:rPr>
          <w:i/>
          <w:iCs/>
          <w:color w:val="666666"/>
        </w:rPr>
        <w:t xml:space="preserve">The following charts, generated during the analysis, support the findings above and can be inserted here: (1) Top 10 Products by Revenue — bar chart; (2) Revenue Share by Category — pie chart; (3) Popularity vs. Revenue — scatter plot; (4) Pareto Analysis — cumulative revenue concentration chart.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2026-08-31T05:54:25.809Z</dcterms:created>
  <dcterms:modified xsi:type="dcterms:W3CDTF">2026-08-31T05:54:25.823Z</dcterms:modified>
</cp:coreProperties>
</file>

<file path=docProps/custom.xml><?xml version="1.0" encoding="utf-8"?>
<Properties xmlns="http://schemas.openxmlformats.org/officeDocument/2006/custom-properties" xmlns:vt="http://schemas.openxmlformats.org/officeDocument/2006/docPropsVTypes"/>
</file>