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56CFD" w14:textId="437B5F2B" w:rsidR="002A62AF" w:rsidRPr="0079379C" w:rsidRDefault="00313966">
      <w:pPr>
        <w:rPr>
          <w:b/>
          <w:bCs/>
          <w:u w:val="single"/>
        </w:rPr>
      </w:pPr>
      <w:r w:rsidRPr="0079379C">
        <w:rPr>
          <w:b/>
          <w:bCs/>
          <w:u w:val="single"/>
        </w:rPr>
        <w:t xml:space="preserve">Excel </w:t>
      </w:r>
      <w:r w:rsidR="00ED1E7F">
        <w:rPr>
          <w:b/>
          <w:bCs/>
          <w:u w:val="single"/>
        </w:rPr>
        <w:t>Weighted Time Calculations &amp; Volatility Calculations</w:t>
      </w:r>
    </w:p>
    <w:p w14:paraId="35151C1B" w14:textId="77777777" w:rsidR="00313966" w:rsidRDefault="00313966"/>
    <w:p w14:paraId="17CB32E5" w14:textId="4B103C9A" w:rsidR="00313966" w:rsidRPr="0079379C" w:rsidRDefault="00313966">
      <w:pPr>
        <w:rPr>
          <w:b/>
          <w:bCs/>
          <w:u w:val="single"/>
        </w:rPr>
      </w:pPr>
      <w:r w:rsidRPr="0079379C">
        <w:rPr>
          <w:b/>
          <w:bCs/>
          <w:u w:val="single"/>
        </w:rPr>
        <w:t>Weighted time calculations – Annual return calculation based on opening and closing prices of each year:</w:t>
      </w:r>
    </w:p>
    <w:p w14:paraId="07092BAF" w14:textId="506166CD" w:rsidR="00313966" w:rsidRDefault="004030EF">
      <w:r>
        <w:rPr>
          <w:noProof/>
        </w:rPr>
        <w:drawing>
          <wp:anchor distT="0" distB="0" distL="114300" distR="114300" simplePos="0" relativeHeight="251658240" behindDoc="1" locked="0" layoutInCell="1" allowOverlap="1" wp14:anchorId="0F4E4DDE" wp14:editId="0D0785EC">
            <wp:simplePos x="0" y="0"/>
            <wp:positionH relativeFrom="column">
              <wp:posOffset>0</wp:posOffset>
            </wp:positionH>
            <wp:positionV relativeFrom="paragraph">
              <wp:posOffset>189230</wp:posOffset>
            </wp:positionV>
            <wp:extent cx="5731510" cy="2566035"/>
            <wp:effectExtent l="0" t="0" r="8890" b="12065"/>
            <wp:wrapTight wrapText="bothSides">
              <wp:wrapPolygon edited="0">
                <wp:start x="0" y="0"/>
                <wp:lineTo x="0" y="21595"/>
                <wp:lineTo x="21586" y="21595"/>
                <wp:lineTo x="21586" y="0"/>
                <wp:lineTo x="0" y="0"/>
              </wp:wrapPolygon>
            </wp:wrapTight>
            <wp:docPr id="1802050214" name="Chart 1">
              <a:extLst xmlns:a="http://schemas.openxmlformats.org/drawingml/2006/main">
                <a:ext uri="{FF2B5EF4-FFF2-40B4-BE49-F238E27FC236}">
                  <a16:creationId xmlns:a16="http://schemas.microsoft.com/office/drawing/2014/main" id="{2EAD3965-53EA-47B1-B8CB-A8A6B04364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14:sizeRelH relativeFrom="page">
              <wp14:pctWidth>0</wp14:pctWidth>
            </wp14:sizeRelH>
            <wp14:sizeRelV relativeFrom="page">
              <wp14:pctHeight>0</wp14:pctHeight>
            </wp14:sizeRelV>
          </wp:anchor>
        </w:drawing>
      </w:r>
    </w:p>
    <w:p w14:paraId="215327A2" w14:textId="6A3362C7" w:rsidR="00313966" w:rsidRDefault="00313966">
      <w:pPr>
        <w:rPr>
          <w:noProof/>
        </w:rPr>
      </w:pPr>
    </w:p>
    <w:p w14:paraId="2657928E" w14:textId="77777777" w:rsidR="00313966" w:rsidRDefault="00313966" w:rsidP="00313966">
      <w:pPr>
        <w:rPr>
          <w:noProof/>
        </w:rPr>
      </w:pPr>
    </w:p>
    <w:p w14:paraId="33824DF9" w14:textId="3918938C" w:rsidR="00313966" w:rsidRDefault="00DD1E2A" w:rsidP="00313966">
      <w:pPr>
        <w:rPr>
          <w:noProof/>
        </w:rPr>
      </w:pPr>
      <w:r>
        <w:rPr>
          <w:noProof/>
        </w:rPr>
        <w:t>Formula:</w:t>
      </w:r>
    </w:p>
    <w:p w14:paraId="5A1BDFA1" w14:textId="01AD0DF1" w:rsidR="00DD1E2A" w:rsidRDefault="00DD1E2A" w:rsidP="00313966">
      <w:r>
        <w:t xml:space="preserve">Annual return for each year </w:t>
      </w:r>
      <w:proofErr w:type="gramStart"/>
      <w:r>
        <w:t>=  (</w:t>
      </w:r>
      <w:proofErr w:type="gramEnd"/>
      <w:r>
        <w:t xml:space="preserve">closing price/opening price)-1. </w:t>
      </w:r>
    </w:p>
    <w:p w14:paraId="018CFD1E" w14:textId="77777777" w:rsidR="00DD1E2A" w:rsidRDefault="00DD1E2A" w:rsidP="00313966"/>
    <w:p w14:paraId="05840E7C" w14:textId="66FC8BD3" w:rsidR="00313966" w:rsidRDefault="00313966" w:rsidP="00313966">
      <w:r>
        <w:t xml:space="preserve">This showed that overall, the annual return of palladium has the most </w:t>
      </w:r>
      <w:proofErr w:type="gramStart"/>
      <w:r>
        <w:t>amount</w:t>
      </w:r>
      <w:proofErr w:type="gramEnd"/>
      <w:r>
        <w:t xml:space="preserve"> of fluctuations and therefore palladium provides the most opportunity for the highest returns.</w:t>
      </w:r>
    </w:p>
    <w:p w14:paraId="4D266913" w14:textId="274C6089" w:rsidR="00313966" w:rsidRDefault="00313966" w:rsidP="00313966">
      <w:r>
        <w:t xml:space="preserve">On the other hands gold has the least </w:t>
      </w:r>
      <w:proofErr w:type="gramStart"/>
      <w:r>
        <w:t>amount</w:t>
      </w:r>
      <w:proofErr w:type="gramEnd"/>
      <w:r>
        <w:t xml:space="preserve"> of fluctuations and therefore provides the least opportunity for high returns, but also </w:t>
      </w:r>
      <w:r w:rsidR="00DD1E2A">
        <w:t>provides the lowest risk.</w:t>
      </w:r>
    </w:p>
    <w:p w14:paraId="614DFFFD" w14:textId="77777777" w:rsidR="00DD1E2A" w:rsidRDefault="00DD1E2A" w:rsidP="00313966"/>
    <w:p w14:paraId="4D0A5C83" w14:textId="4126D897" w:rsidR="00DD1E2A" w:rsidRPr="00DD1E2A" w:rsidRDefault="00DD1E2A" w:rsidP="00DD1E2A">
      <w:pPr>
        <w:rPr>
          <w:b/>
          <w:bCs/>
          <w:u w:val="single"/>
        </w:rPr>
      </w:pPr>
      <w:r w:rsidRPr="00DD1E2A">
        <w:rPr>
          <w:b/>
          <w:bCs/>
          <w:u w:val="single"/>
        </w:rPr>
        <w:t>Volatility calculation</w:t>
      </w:r>
      <w:r w:rsidRPr="0079379C">
        <w:rPr>
          <w:b/>
          <w:bCs/>
          <w:u w:val="single"/>
        </w:rPr>
        <w:t>s</w:t>
      </w:r>
      <w:r w:rsidR="0079379C">
        <w:rPr>
          <w:b/>
          <w:bCs/>
          <w:u w:val="single"/>
        </w:rPr>
        <w:t xml:space="preserve"> (1990-2023)</w:t>
      </w:r>
      <w:r w:rsidRPr="0079379C">
        <w:rPr>
          <w:b/>
          <w:bCs/>
          <w:u w:val="single"/>
        </w:rPr>
        <w:t>:</w:t>
      </w:r>
    </w:p>
    <w:p w14:paraId="70FC256D" w14:textId="77777777" w:rsidR="00DD1E2A" w:rsidRDefault="00DD1E2A" w:rsidP="00DD1E2A"/>
    <w:p w14:paraId="1D529677" w14:textId="51168646" w:rsidR="00DD1E2A" w:rsidRDefault="00DD1E2A" w:rsidP="00DD1E2A">
      <w:r>
        <w:t>Formulas:</w:t>
      </w:r>
    </w:p>
    <w:p w14:paraId="11F1D957" w14:textId="455CF36F" w:rsidR="00DD1E2A" w:rsidRPr="00DD1E2A" w:rsidRDefault="00DD1E2A" w:rsidP="00DD1E2A">
      <w:r w:rsidRPr="00DD1E2A">
        <w:t>Daily return = (price today/price yesterday) - 1</w:t>
      </w:r>
    </w:p>
    <w:p w14:paraId="062B91C9" w14:textId="5CF59434" w:rsidR="00DD1E2A" w:rsidRPr="00DD1E2A" w:rsidRDefault="00DD1E2A" w:rsidP="00DD1E2A">
      <w:r w:rsidRPr="00DD1E2A">
        <w:t>Volatility = Standard deviation of the daily returns</w:t>
      </w:r>
    </w:p>
    <w:p w14:paraId="43FB0F2E" w14:textId="77777777" w:rsidR="00DD1E2A" w:rsidRDefault="00DD1E2A" w:rsidP="00313966"/>
    <w:p w14:paraId="2E3BAF29" w14:textId="3C900968" w:rsidR="00DD1E2A" w:rsidRDefault="00DD1E2A" w:rsidP="00313966">
      <w:r>
        <w:rPr>
          <w:noProof/>
        </w:rPr>
        <w:lastRenderedPageBreak/>
        <w:drawing>
          <wp:anchor distT="0" distB="0" distL="114300" distR="114300" simplePos="0" relativeHeight="251659264" behindDoc="1" locked="0" layoutInCell="1" allowOverlap="1" wp14:anchorId="7CC5A961" wp14:editId="3552A4C8">
            <wp:simplePos x="0" y="0"/>
            <wp:positionH relativeFrom="column">
              <wp:posOffset>0</wp:posOffset>
            </wp:positionH>
            <wp:positionV relativeFrom="paragraph">
              <wp:posOffset>0</wp:posOffset>
            </wp:positionV>
            <wp:extent cx="4041287" cy="2511425"/>
            <wp:effectExtent l="0" t="0" r="10160" b="15875"/>
            <wp:wrapTight wrapText="bothSides">
              <wp:wrapPolygon edited="0">
                <wp:start x="0" y="0"/>
                <wp:lineTo x="0" y="21627"/>
                <wp:lineTo x="21586" y="21627"/>
                <wp:lineTo x="21586" y="0"/>
                <wp:lineTo x="0" y="0"/>
              </wp:wrapPolygon>
            </wp:wrapTight>
            <wp:docPr id="756882760" name="Chart 1">
              <a:extLst xmlns:a="http://schemas.openxmlformats.org/drawingml/2006/main">
                <a:ext uri="{FF2B5EF4-FFF2-40B4-BE49-F238E27FC236}">
                  <a16:creationId xmlns:a16="http://schemas.microsoft.com/office/drawing/2014/main" id="{91E85C5D-177A-4BD4-9532-289839A65F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page">
              <wp14:pctWidth>0</wp14:pctWidth>
            </wp14:sizeRelH>
            <wp14:sizeRelV relativeFrom="page">
              <wp14:pctHeight>0</wp14:pctHeight>
            </wp14:sizeRelV>
          </wp:anchor>
        </w:drawing>
      </w:r>
    </w:p>
    <w:p w14:paraId="43985840" w14:textId="77777777" w:rsidR="00DD1E2A" w:rsidRDefault="00DD1E2A" w:rsidP="00313966"/>
    <w:p w14:paraId="7B80FE4A" w14:textId="3F3D3CFD" w:rsidR="00DD1E2A" w:rsidRDefault="00DD1E2A" w:rsidP="00313966"/>
    <w:p w14:paraId="756D37F6" w14:textId="77777777" w:rsidR="00DD1E2A" w:rsidRDefault="00DD1E2A" w:rsidP="00313966"/>
    <w:p w14:paraId="3E75014A" w14:textId="460A861D" w:rsidR="00DD1E2A" w:rsidRDefault="00DD1E2A" w:rsidP="00313966"/>
    <w:p w14:paraId="35709AE6" w14:textId="77777777" w:rsidR="004030EF" w:rsidRDefault="004030EF" w:rsidP="0023195A"/>
    <w:p w14:paraId="7DE071B2" w14:textId="77777777" w:rsidR="004030EF" w:rsidRDefault="004030EF" w:rsidP="0023195A"/>
    <w:p w14:paraId="35381AA3" w14:textId="632FF683" w:rsidR="004030EF" w:rsidRDefault="004030EF" w:rsidP="0023195A"/>
    <w:p w14:paraId="1B22B718" w14:textId="70E65739" w:rsidR="004030EF" w:rsidRDefault="004030EF" w:rsidP="0023195A"/>
    <w:p w14:paraId="5830C675" w14:textId="0212FFE7" w:rsidR="004030EF" w:rsidRDefault="004030EF" w:rsidP="0023195A"/>
    <w:p w14:paraId="74EF11B2" w14:textId="5C9753E8" w:rsidR="004030EF" w:rsidRDefault="004030EF" w:rsidP="0023195A"/>
    <w:p w14:paraId="573EEF67" w14:textId="77777777" w:rsidR="004030EF" w:rsidRDefault="004030EF" w:rsidP="0023195A"/>
    <w:p w14:paraId="6ED3845D" w14:textId="4EF8DC69" w:rsidR="004030EF" w:rsidRDefault="004030EF" w:rsidP="0023195A"/>
    <w:p w14:paraId="17A3C4A2" w14:textId="67F61A38" w:rsidR="004030EF" w:rsidRDefault="004030EF" w:rsidP="0023195A"/>
    <w:p w14:paraId="2B261913" w14:textId="2B5995AC" w:rsidR="004030EF" w:rsidRDefault="004030EF" w:rsidP="0023195A">
      <w:r>
        <w:rPr>
          <w:noProof/>
        </w:rPr>
        <w:drawing>
          <wp:anchor distT="0" distB="0" distL="114300" distR="114300" simplePos="0" relativeHeight="251660288" behindDoc="1" locked="0" layoutInCell="1" allowOverlap="1" wp14:anchorId="50398A45" wp14:editId="431A1651">
            <wp:simplePos x="0" y="0"/>
            <wp:positionH relativeFrom="column">
              <wp:posOffset>0</wp:posOffset>
            </wp:positionH>
            <wp:positionV relativeFrom="paragraph">
              <wp:posOffset>77921</wp:posOffset>
            </wp:positionV>
            <wp:extent cx="4066686" cy="2573949"/>
            <wp:effectExtent l="0" t="0" r="10160" b="17145"/>
            <wp:wrapTight wrapText="bothSides">
              <wp:wrapPolygon edited="0">
                <wp:start x="0" y="0"/>
                <wp:lineTo x="0" y="21637"/>
                <wp:lineTo x="21587" y="21637"/>
                <wp:lineTo x="21587" y="0"/>
                <wp:lineTo x="0" y="0"/>
              </wp:wrapPolygon>
            </wp:wrapTight>
            <wp:docPr id="649176923" name="Chart 1">
              <a:extLst xmlns:a="http://schemas.openxmlformats.org/drawingml/2006/main">
                <a:ext uri="{FF2B5EF4-FFF2-40B4-BE49-F238E27FC236}">
                  <a16:creationId xmlns:a16="http://schemas.microsoft.com/office/drawing/2014/main" id="{E47630D4-15CB-4DB8-B93E-5A9AAC5A49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p>
    <w:p w14:paraId="67D0B8EF" w14:textId="77777777" w:rsidR="004030EF" w:rsidRDefault="004030EF" w:rsidP="0023195A"/>
    <w:p w14:paraId="1BA558F2" w14:textId="77777777" w:rsidR="004030EF" w:rsidRDefault="004030EF" w:rsidP="0023195A"/>
    <w:p w14:paraId="2F8D5EAC" w14:textId="77777777" w:rsidR="004030EF" w:rsidRDefault="004030EF" w:rsidP="0023195A"/>
    <w:p w14:paraId="0A96AC35" w14:textId="77777777" w:rsidR="004030EF" w:rsidRDefault="004030EF" w:rsidP="0023195A"/>
    <w:p w14:paraId="632CB8E6" w14:textId="77777777" w:rsidR="004030EF" w:rsidRDefault="004030EF" w:rsidP="0023195A"/>
    <w:p w14:paraId="2BA2D53A" w14:textId="77777777" w:rsidR="004030EF" w:rsidRDefault="004030EF" w:rsidP="0023195A"/>
    <w:p w14:paraId="0703F911" w14:textId="77777777" w:rsidR="004030EF" w:rsidRDefault="004030EF" w:rsidP="0023195A"/>
    <w:p w14:paraId="693CD083" w14:textId="77777777" w:rsidR="004030EF" w:rsidRDefault="004030EF" w:rsidP="0023195A"/>
    <w:p w14:paraId="557E74F3" w14:textId="77777777" w:rsidR="004030EF" w:rsidRDefault="004030EF" w:rsidP="0023195A"/>
    <w:p w14:paraId="5793EF2F" w14:textId="77777777" w:rsidR="004030EF" w:rsidRDefault="004030EF" w:rsidP="0023195A"/>
    <w:p w14:paraId="3467B4D0" w14:textId="77777777" w:rsidR="004030EF" w:rsidRDefault="004030EF" w:rsidP="0023195A"/>
    <w:p w14:paraId="0467A340" w14:textId="77777777" w:rsidR="004030EF" w:rsidRDefault="004030EF" w:rsidP="0023195A"/>
    <w:p w14:paraId="54CBA712" w14:textId="77777777" w:rsidR="004030EF" w:rsidRDefault="004030EF" w:rsidP="0023195A"/>
    <w:p w14:paraId="4940ED4D" w14:textId="77777777" w:rsidR="004030EF" w:rsidRDefault="004030EF" w:rsidP="0023195A"/>
    <w:p w14:paraId="5928782A" w14:textId="77777777" w:rsidR="004030EF" w:rsidRDefault="004030EF" w:rsidP="0023195A"/>
    <w:p w14:paraId="30C7866E" w14:textId="77777777" w:rsidR="004030EF" w:rsidRDefault="004030EF" w:rsidP="0023195A"/>
    <w:p w14:paraId="40583158" w14:textId="0096B5C2" w:rsidR="0023195A" w:rsidRDefault="00DD1E2A" w:rsidP="0023195A">
      <w:r>
        <w:t xml:space="preserve">The volatility calculations showed that over the entire course of the historical data we have, silver and gold had the lowest volatility while palladium and platinum had the highest volatility. </w:t>
      </w:r>
      <w:r w:rsidR="0023195A">
        <w:t>generally h</w:t>
      </w:r>
      <w:r w:rsidR="0023195A" w:rsidRPr="0023195A">
        <w:t xml:space="preserve">igher volatility means higher risk as there's a greater chance that the price of an asset moves unexpectedly, which could lead to both larger gains and larger losses. </w:t>
      </w:r>
    </w:p>
    <w:p w14:paraId="431AE4B6" w14:textId="77777777" w:rsidR="0023195A" w:rsidRDefault="0023195A" w:rsidP="0023195A"/>
    <w:p w14:paraId="13E10EE7" w14:textId="0A4FF4B9" w:rsidR="0023195A" w:rsidRPr="0079379C" w:rsidRDefault="0023195A" w:rsidP="0023195A">
      <w:pPr>
        <w:rPr>
          <w:b/>
          <w:bCs/>
          <w:u w:val="single"/>
        </w:rPr>
      </w:pPr>
      <w:r w:rsidRPr="0079379C">
        <w:rPr>
          <w:b/>
          <w:bCs/>
          <w:u w:val="single"/>
        </w:rPr>
        <w:t>Volatility calculations during unstable time periods</w:t>
      </w:r>
      <w:r w:rsidR="0079379C">
        <w:rPr>
          <w:b/>
          <w:bCs/>
          <w:u w:val="single"/>
        </w:rPr>
        <w:t>:</w:t>
      </w:r>
    </w:p>
    <w:p w14:paraId="3014C54C" w14:textId="77777777" w:rsidR="004030EF" w:rsidRDefault="004030EF" w:rsidP="0023195A">
      <w:pPr>
        <w:rPr>
          <w:u w:val="single"/>
        </w:rPr>
      </w:pPr>
    </w:p>
    <w:p w14:paraId="5344CB4E" w14:textId="7423D6AE" w:rsidR="004030EF" w:rsidRPr="004030EF" w:rsidRDefault="004030EF" w:rsidP="004030EF">
      <w:r w:rsidRPr="004030EF">
        <w:t xml:space="preserve">We wanted to look at the volatility for unstable times. Here </w:t>
      </w:r>
      <w:r>
        <w:t>we</w:t>
      </w:r>
      <w:r w:rsidRPr="004030EF">
        <w:t xml:space="preserve"> have defined unstable time periods in which there's a massive fluctuation in inflation and other economic indicators - From the power BI inflation graph we can see that this has happened in the following years:</w:t>
      </w:r>
    </w:p>
    <w:p w14:paraId="1138505F" w14:textId="77777777" w:rsidR="004030EF" w:rsidRPr="004030EF" w:rsidRDefault="004030EF" w:rsidP="004030EF">
      <w:r w:rsidRPr="004030EF">
        <w:t>1991-1994,2007-2009, 2010-2012, 2013-2017, 2018-2022</w:t>
      </w:r>
    </w:p>
    <w:p w14:paraId="1D97397E" w14:textId="77777777" w:rsidR="004030EF" w:rsidRPr="0023195A" w:rsidRDefault="004030EF" w:rsidP="0023195A">
      <w:pPr>
        <w:rPr>
          <w:u w:val="single"/>
        </w:rPr>
      </w:pPr>
    </w:p>
    <w:p w14:paraId="2A4C4CEF" w14:textId="1269D59D" w:rsidR="00DD1E2A" w:rsidRDefault="00DD1E2A" w:rsidP="00313966"/>
    <w:p w14:paraId="4E44DBF4" w14:textId="76786645" w:rsidR="0023195A" w:rsidRDefault="0023195A" w:rsidP="00313966">
      <w:r>
        <w:rPr>
          <w:noProof/>
        </w:rPr>
        <w:lastRenderedPageBreak/>
        <w:drawing>
          <wp:anchor distT="0" distB="0" distL="114300" distR="114300" simplePos="0" relativeHeight="251661312" behindDoc="1" locked="0" layoutInCell="1" allowOverlap="1" wp14:anchorId="03F84FFE" wp14:editId="41408922">
            <wp:simplePos x="0" y="0"/>
            <wp:positionH relativeFrom="column">
              <wp:posOffset>0</wp:posOffset>
            </wp:positionH>
            <wp:positionV relativeFrom="paragraph">
              <wp:posOffset>0</wp:posOffset>
            </wp:positionV>
            <wp:extent cx="5731510" cy="3451122"/>
            <wp:effectExtent l="0" t="0" r="8890" b="16510"/>
            <wp:wrapTight wrapText="bothSides">
              <wp:wrapPolygon edited="0">
                <wp:start x="0" y="0"/>
                <wp:lineTo x="0" y="21624"/>
                <wp:lineTo x="21586" y="21624"/>
                <wp:lineTo x="21586" y="0"/>
                <wp:lineTo x="0" y="0"/>
              </wp:wrapPolygon>
            </wp:wrapTight>
            <wp:docPr id="753991011" name="Chart 1">
              <a:extLst xmlns:a="http://schemas.openxmlformats.org/drawingml/2006/main">
                <a:ext uri="{FF2B5EF4-FFF2-40B4-BE49-F238E27FC236}">
                  <a16:creationId xmlns:a16="http://schemas.microsoft.com/office/drawing/2014/main" id="{1194F2A9-ED0D-5945-B7EF-548925B4D9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p>
    <w:p w14:paraId="4F493B29" w14:textId="77777777" w:rsidR="0089700F" w:rsidRDefault="0089700F" w:rsidP="00313966"/>
    <w:p w14:paraId="2D8DDC31" w14:textId="1B5CC9B4" w:rsidR="004030EF" w:rsidRPr="004030EF" w:rsidRDefault="004030EF" w:rsidP="004030EF">
      <w:r w:rsidRPr="004030EF">
        <w:t xml:space="preserve">From our volatility analysis we can see that in general gold has a lower volatility and therefore a lower risk during unstable periods. This suggests that gold is the safer of the four however it is still high risk and subject to investor confidence and market conditions in the short term. </w:t>
      </w:r>
      <w:r>
        <w:t>O</w:t>
      </w:r>
      <w:r w:rsidRPr="004030EF">
        <w:t>ut of the four palladium demonstrates the highest opportunity for short term gains however it is also very volatile so associated with the highest risk. This is followed by platinum at second most volatile.</w:t>
      </w:r>
    </w:p>
    <w:p w14:paraId="1BEDD326" w14:textId="1DEFCC78" w:rsidR="0089700F" w:rsidRPr="00313966" w:rsidRDefault="0089700F" w:rsidP="00313966"/>
    <w:sectPr w:rsidR="0089700F" w:rsidRPr="003139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966"/>
    <w:rsid w:val="00087C33"/>
    <w:rsid w:val="000A0FCB"/>
    <w:rsid w:val="00162DED"/>
    <w:rsid w:val="00186562"/>
    <w:rsid w:val="001C54CD"/>
    <w:rsid w:val="001D473D"/>
    <w:rsid w:val="001E700D"/>
    <w:rsid w:val="0023195A"/>
    <w:rsid w:val="00237C51"/>
    <w:rsid w:val="002A62AF"/>
    <w:rsid w:val="002C50E4"/>
    <w:rsid w:val="002E66B9"/>
    <w:rsid w:val="00313966"/>
    <w:rsid w:val="0033388A"/>
    <w:rsid w:val="003343C3"/>
    <w:rsid w:val="003B10CB"/>
    <w:rsid w:val="003B7E86"/>
    <w:rsid w:val="004030EF"/>
    <w:rsid w:val="004567A2"/>
    <w:rsid w:val="0049779F"/>
    <w:rsid w:val="004E3D79"/>
    <w:rsid w:val="004E619E"/>
    <w:rsid w:val="00513D05"/>
    <w:rsid w:val="00520769"/>
    <w:rsid w:val="00546C67"/>
    <w:rsid w:val="005949B7"/>
    <w:rsid w:val="005D65EC"/>
    <w:rsid w:val="005F2B24"/>
    <w:rsid w:val="006409AE"/>
    <w:rsid w:val="0064560E"/>
    <w:rsid w:val="006B5D8F"/>
    <w:rsid w:val="0079379C"/>
    <w:rsid w:val="0079786E"/>
    <w:rsid w:val="007E3B1B"/>
    <w:rsid w:val="007F318E"/>
    <w:rsid w:val="0089700F"/>
    <w:rsid w:val="0098337C"/>
    <w:rsid w:val="00A23DA7"/>
    <w:rsid w:val="00A424D5"/>
    <w:rsid w:val="00A4688E"/>
    <w:rsid w:val="00A91F0D"/>
    <w:rsid w:val="00AD45AA"/>
    <w:rsid w:val="00AD677E"/>
    <w:rsid w:val="00B002E6"/>
    <w:rsid w:val="00B33080"/>
    <w:rsid w:val="00B744C6"/>
    <w:rsid w:val="00BF2F89"/>
    <w:rsid w:val="00C07E2D"/>
    <w:rsid w:val="00C35573"/>
    <w:rsid w:val="00C76C8B"/>
    <w:rsid w:val="00CA1393"/>
    <w:rsid w:val="00CA766C"/>
    <w:rsid w:val="00CE1F50"/>
    <w:rsid w:val="00D24052"/>
    <w:rsid w:val="00D514A4"/>
    <w:rsid w:val="00D539C9"/>
    <w:rsid w:val="00D61454"/>
    <w:rsid w:val="00D86688"/>
    <w:rsid w:val="00D9013B"/>
    <w:rsid w:val="00DA0D98"/>
    <w:rsid w:val="00DD1E2A"/>
    <w:rsid w:val="00ED1E7F"/>
    <w:rsid w:val="00F22013"/>
    <w:rsid w:val="00F8138A"/>
    <w:rsid w:val="00F8294C"/>
    <w:rsid w:val="00FA4F40"/>
    <w:rsid w:val="00FE14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CDE3A"/>
  <w15:chartTrackingRefBased/>
  <w15:docId w15:val="{9F14AD7C-0456-2E49-926B-F571ABC73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195A"/>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578289">
      <w:bodyDiv w:val="1"/>
      <w:marLeft w:val="0"/>
      <w:marRight w:val="0"/>
      <w:marTop w:val="0"/>
      <w:marBottom w:val="0"/>
      <w:divBdr>
        <w:top w:val="none" w:sz="0" w:space="0" w:color="auto"/>
        <w:left w:val="none" w:sz="0" w:space="0" w:color="auto"/>
        <w:bottom w:val="none" w:sz="0" w:space="0" w:color="auto"/>
        <w:right w:val="none" w:sz="0" w:space="0" w:color="auto"/>
      </w:divBdr>
    </w:div>
    <w:div w:id="1007755039">
      <w:bodyDiv w:val="1"/>
      <w:marLeft w:val="0"/>
      <w:marRight w:val="0"/>
      <w:marTop w:val="0"/>
      <w:marBottom w:val="0"/>
      <w:divBdr>
        <w:top w:val="none" w:sz="0" w:space="0" w:color="auto"/>
        <w:left w:val="none" w:sz="0" w:space="0" w:color="auto"/>
        <w:bottom w:val="none" w:sz="0" w:space="0" w:color="auto"/>
        <w:right w:val="none" w:sz="0" w:space="0" w:color="auto"/>
      </w:divBdr>
    </w:div>
    <w:div w:id="1476290800">
      <w:bodyDiv w:val="1"/>
      <w:marLeft w:val="0"/>
      <w:marRight w:val="0"/>
      <w:marTop w:val="0"/>
      <w:marBottom w:val="0"/>
      <w:divBdr>
        <w:top w:val="none" w:sz="0" w:space="0" w:color="auto"/>
        <w:left w:val="none" w:sz="0" w:space="0" w:color="auto"/>
        <w:bottom w:val="none" w:sz="0" w:space="0" w:color="auto"/>
        <w:right w:val="none" w:sz="0" w:space="0" w:color="auto"/>
      </w:divBdr>
    </w:div>
    <w:div w:id="2000575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farimah\Downloads\Metal_Prices%20calculations.complet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farimah\Downloads\Copy%20of%20Metal_Prices%20calculations.complet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farimah\Downloads\Copy%20of%20Metal_Prices%20calculations.complete.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farimah\Downloads\Copy%20of%20Metal_Prices%20calculations.complete.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ysClr val="windowText" lastClr="000000"/>
                </a:solidFill>
                <a:latin typeface="+mn-lt"/>
                <a:ea typeface="+mn-ea"/>
                <a:cs typeface="+mn-cs"/>
              </a:defRPr>
            </a:pPr>
            <a:r>
              <a:rPr lang="en-GB" sz="1000" b="1">
                <a:solidFill>
                  <a:sysClr val="windowText" lastClr="000000"/>
                </a:solidFill>
              </a:rPr>
              <a:t>Comparison Of Annual Returns For Each Metal</a:t>
            </a:r>
          </a:p>
        </c:rich>
      </c:tx>
      <c:overlay val="0"/>
      <c:spPr>
        <a:noFill/>
        <a:ln>
          <a:noFill/>
        </a:ln>
        <a:effectLst/>
      </c:spPr>
      <c:txPr>
        <a:bodyPr rot="0" spcFirstLastPara="1" vertOverflow="ellipsis" vert="horz" wrap="square" anchor="ctr" anchorCtr="1"/>
        <a:lstStyle/>
        <a:p>
          <a:pPr>
            <a:defRPr sz="1000" b="1" i="0" u="none" strike="noStrike" kern="1200" spc="0" baseline="0">
              <a:solidFill>
                <a:sysClr val="windowText" lastClr="000000"/>
              </a:solidFill>
              <a:latin typeface="+mn-lt"/>
              <a:ea typeface="+mn-ea"/>
              <a:cs typeface="+mn-cs"/>
            </a:defRPr>
          </a:pPr>
          <a:endParaRPr lang="en-US"/>
        </a:p>
      </c:txPr>
    </c:title>
    <c:autoTitleDeleted val="0"/>
    <c:plotArea>
      <c:layout>
        <c:manualLayout>
          <c:layoutTarget val="inner"/>
          <c:xMode val="edge"/>
          <c:yMode val="edge"/>
          <c:x val="0.10881722268651717"/>
          <c:y val="0.11304861985188651"/>
          <c:w val="0.85557435998541398"/>
          <c:h val="0.71687615256271409"/>
        </c:manualLayout>
      </c:layout>
      <c:areaChart>
        <c:grouping val="stacked"/>
        <c:varyColors val="0"/>
        <c:ser>
          <c:idx val="0"/>
          <c:order val="0"/>
          <c:tx>
            <c:strRef>
              <c:f>Weighted_Time_Visual!$B$1</c:f>
              <c:strCache>
                <c:ptCount val="1"/>
                <c:pt idx="0">
                  <c:v>Gold Annual return </c:v>
                </c:pt>
              </c:strCache>
            </c:strRef>
          </c:tx>
          <c:spPr>
            <a:solidFill>
              <a:schemeClr val="accent2"/>
            </a:solidFill>
            <a:ln>
              <a:noFill/>
            </a:ln>
            <a:effectLst/>
          </c:spPr>
          <c:cat>
            <c:numRef>
              <c:f>Weighted_Time_Visual!$A$2:$A$35</c:f>
              <c:numCache>
                <c:formatCode>General</c:formatCode>
                <c:ptCount val="34"/>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pt idx="33">
                  <c:v>2023</c:v>
                </c:pt>
              </c:numCache>
            </c:numRef>
          </c:cat>
          <c:val>
            <c:numRef>
              <c:f>Weighted_Time_Visual!$B$2:$B$35</c:f>
              <c:numCache>
                <c:formatCode>0.00%</c:formatCode>
                <c:ptCount val="34"/>
                <c:pt idx="0">
                  <c:v>4.7800108636610661E-2</c:v>
                </c:pt>
                <c:pt idx="1">
                  <c:v>-9.8110557896080586E-2</c:v>
                </c:pt>
                <c:pt idx="2">
                  <c:v>-5.2556615866685585E-2</c:v>
                </c:pt>
                <c:pt idx="3">
                  <c:v>0.19098304569299773</c:v>
                </c:pt>
                <c:pt idx="4">
                  <c:v>-2.8766949689519761E-2</c:v>
                </c:pt>
                <c:pt idx="5">
                  <c:v>1.5151515151515138E-2</c:v>
                </c:pt>
                <c:pt idx="6">
                  <c:v>-4.818035426731071E-2</c:v>
                </c:pt>
                <c:pt idx="7">
                  <c:v>-0.20868795533464968</c:v>
                </c:pt>
                <c:pt idx="8">
                  <c:v>-1.9107173875282379E-3</c:v>
                </c:pt>
                <c:pt idx="9">
                  <c:v>9.9061522419188197E-3</c:v>
                </c:pt>
                <c:pt idx="10">
                  <c:v>-2.5729748913139949E-2</c:v>
                </c:pt>
                <c:pt idx="11">
                  <c:v>1.8753447324876049E-2</c:v>
                </c:pt>
                <c:pt idx="12">
                  <c:v>0.25024710216551349</c:v>
                </c:pt>
                <c:pt idx="13">
                  <c:v>0.21260932944606425</c:v>
                </c:pt>
                <c:pt idx="14">
                  <c:v>4.8527906556686151E-2</c:v>
                </c:pt>
                <c:pt idx="15">
                  <c:v>0.2053127376982038</c:v>
                </c:pt>
                <c:pt idx="16">
                  <c:v>0.2000951701165834</c:v>
                </c:pt>
                <c:pt idx="17">
                  <c:v>0.29812573213588434</c:v>
                </c:pt>
                <c:pt idx="18">
                  <c:v>3.0962962962962859E-2</c:v>
                </c:pt>
                <c:pt idx="19">
                  <c:v>0.24982083990253701</c:v>
                </c:pt>
                <c:pt idx="20">
                  <c:v>0.2606847169389126</c:v>
                </c:pt>
                <c:pt idx="21">
                  <c:v>9.8246241947029356E-2</c:v>
                </c:pt>
                <c:pt idx="22">
                  <c:v>4.0228983688833209E-2</c:v>
                </c:pt>
                <c:pt idx="23">
                  <c:v>-0.28716391378416417</c:v>
                </c:pt>
                <c:pt idx="24">
                  <c:v>-2.1372328458942658E-2</c:v>
                </c:pt>
                <c:pt idx="25">
                  <c:v>-9.6954907161803661E-2</c:v>
                </c:pt>
                <c:pt idx="26">
                  <c:v>6.3922596811990973E-2</c:v>
                </c:pt>
                <c:pt idx="27">
                  <c:v>0.12304046267910329</c:v>
                </c:pt>
                <c:pt idx="28">
                  <c:v>-2.4458540488027869E-2</c:v>
                </c:pt>
                <c:pt idx="29">
                  <c:v>0.18195790047079874</c:v>
                </c:pt>
                <c:pt idx="30">
                  <c:v>0.23987334503633928</c:v>
                </c:pt>
                <c:pt idx="31">
                  <c:v>-6.4029426948890134E-2</c:v>
                </c:pt>
                <c:pt idx="32">
                  <c:v>-0.49941305638801803</c:v>
                </c:pt>
                <c:pt idx="33">
                  <c:v>5.301362042247737E-3</c:v>
                </c:pt>
              </c:numCache>
            </c:numRef>
          </c:val>
          <c:extLst>
            <c:ext xmlns:c16="http://schemas.microsoft.com/office/drawing/2014/chart" uri="{C3380CC4-5D6E-409C-BE32-E72D297353CC}">
              <c16:uniqueId val="{00000000-4032-F64B-858C-3A6BED9C386C}"/>
            </c:ext>
          </c:extLst>
        </c:ser>
        <c:ser>
          <c:idx val="1"/>
          <c:order val="1"/>
          <c:tx>
            <c:strRef>
              <c:f>Weighted_Time_Visual!$C$1</c:f>
              <c:strCache>
                <c:ptCount val="1"/>
                <c:pt idx="0">
                  <c:v>Silver Annual Return</c:v>
                </c:pt>
              </c:strCache>
            </c:strRef>
          </c:tx>
          <c:spPr>
            <a:solidFill>
              <a:schemeClr val="accent4"/>
            </a:solidFill>
            <a:ln>
              <a:noFill/>
            </a:ln>
            <a:effectLst/>
          </c:spPr>
          <c:cat>
            <c:numRef>
              <c:f>Weighted_Time_Visual!$A$2:$A$35</c:f>
              <c:numCache>
                <c:formatCode>General</c:formatCode>
                <c:ptCount val="34"/>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pt idx="33">
                  <c:v>2023</c:v>
                </c:pt>
              </c:numCache>
            </c:numRef>
          </c:cat>
          <c:val>
            <c:numRef>
              <c:f>Weighted_Time_Visual!$C$2:$C$35</c:f>
              <c:numCache>
                <c:formatCode>0.00%</c:formatCode>
                <c:ptCount val="34"/>
                <c:pt idx="0">
                  <c:v>-0.17073417721518991</c:v>
                </c:pt>
                <c:pt idx="1">
                  <c:v>-7.2895400504383367E-2</c:v>
                </c:pt>
                <c:pt idx="2">
                  <c:v>-5.287653522947644E-2</c:v>
                </c:pt>
                <c:pt idx="3">
                  <c:v>0.39549180327868849</c:v>
                </c:pt>
                <c:pt idx="4">
                  <c:v>-7.088031839287412E-2</c:v>
                </c:pt>
                <c:pt idx="5">
                  <c:v>6.0105339254363344E-2</c:v>
                </c:pt>
                <c:pt idx="6">
                  <c:v>-5.5179090029041644E-2</c:v>
                </c:pt>
                <c:pt idx="7">
                  <c:v>0.30031446540880502</c:v>
                </c:pt>
                <c:pt idx="8">
                  <c:v>-0.15319865319865322</c:v>
                </c:pt>
                <c:pt idx="9">
                  <c:v>6.7067067067066999E-2</c:v>
                </c:pt>
                <c:pt idx="10">
                  <c:v>-0.13342762847713352</c:v>
                </c:pt>
                <c:pt idx="11">
                  <c:v>-1.9607843137254832E-2</c:v>
                </c:pt>
                <c:pt idx="12">
                  <c:v>2.8322440087146017E-2</c:v>
                </c:pt>
                <c:pt idx="13">
                  <c:v>0.24683544303797467</c:v>
                </c:pt>
                <c:pt idx="14">
                  <c:v>0.13116123642439415</c:v>
                </c:pt>
                <c:pt idx="15">
                  <c:v>0.39358372456964008</c:v>
                </c:pt>
                <c:pt idx="16">
                  <c:v>0.42035398230088505</c:v>
                </c:pt>
                <c:pt idx="17">
                  <c:v>0.13374327440430434</c:v>
                </c:pt>
                <c:pt idx="18">
                  <c:v>-0.27461486939048896</c:v>
                </c:pt>
                <c:pt idx="19">
                  <c:v>0.52707581227436839</c:v>
                </c:pt>
                <c:pt idx="20">
                  <c:v>0.78800232964472894</c:v>
                </c:pt>
                <c:pt idx="21">
                  <c:v>-0.14704923377893708</c:v>
                </c:pt>
                <c:pt idx="22">
                  <c:v>4.7602501737317393E-2</c:v>
                </c:pt>
                <c:pt idx="23">
                  <c:v>-0.36345966958211862</c:v>
                </c:pt>
                <c:pt idx="24">
                  <c:v>-0.20812437311935816</c:v>
                </c:pt>
                <c:pt idx="25">
                  <c:v>-0.1203055378739657</c:v>
                </c:pt>
                <c:pt idx="26">
                  <c:v>0.14714285714285702</c:v>
                </c:pt>
                <c:pt idx="27">
                  <c:v>4.9529780564263381E-2</c:v>
                </c:pt>
                <c:pt idx="28">
                  <c:v>-9.349355216881583E-2</c:v>
                </c:pt>
                <c:pt idx="29">
                  <c:v>0.16871761658031104</c:v>
                </c:pt>
                <c:pt idx="30">
                  <c:v>0.47754532775453273</c:v>
                </c:pt>
                <c:pt idx="31">
                  <c:v>-0.15346534653465338</c:v>
                </c:pt>
                <c:pt idx="32">
                  <c:v>4.6089995631279912E-2</c:v>
                </c:pt>
                <c:pt idx="33">
                  <c:v>-0.10887013788845457</c:v>
                </c:pt>
              </c:numCache>
            </c:numRef>
          </c:val>
          <c:extLst>
            <c:ext xmlns:c16="http://schemas.microsoft.com/office/drawing/2014/chart" uri="{C3380CC4-5D6E-409C-BE32-E72D297353CC}">
              <c16:uniqueId val="{00000001-4032-F64B-858C-3A6BED9C386C}"/>
            </c:ext>
          </c:extLst>
        </c:ser>
        <c:ser>
          <c:idx val="2"/>
          <c:order val="2"/>
          <c:tx>
            <c:strRef>
              <c:f>Weighted_Time_Visual!$D$1</c:f>
              <c:strCache>
                <c:ptCount val="1"/>
                <c:pt idx="0">
                  <c:v>Platinum Annual Return </c:v>
                </c:pt>
              </c:strCache>
            </c:strRef>
          </c:tx>
          <c:spPr>
            <a:solidFill>
              <a:schemeClr val="accent6"/>
            </a:solidFill>
            <a:ln>
              <a:noFill/>
            </a:ln>
            <a:effectLst/>
          </c:spPr>
          <c:cat>
            <c:numRef>
              <c:f>Weighted_Time_Visual!$A$2:$A$35</c:f>
              <c:numCache>
                <c:formatCode>General</c:formatCode>
                <c:ptCount val="34"/>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pt idx="33">
                  <c:v>2023</c:v>
                </c:pt>
              </c:numCache>
            </c:numRef>
          </c:cat>
          <c:val>
            <c:numRef>
              <c:f>Weighted_Time_Visual!$D$2:$D$35</c:f>
              <c:numCache>
                <c:formatCode>0.00%</c:formatCode>
                <c:ptCount val="34"/>
                <c:pt idx="0">
                  <c:v>-0.12559745087626129</c:v>
                </c:pt>
                <c:pt idx="1">
                  <c:v>-0.19927426670698523</c:v>
                </c:pt>
                <c:pt idx="2">
                  <c:v>5.8482142857142705E-2</c:v>
                </c:pt>
                <c:pt idx="3">
                  <c:v>0.11386840612592164</c:v>
                </c:pt>
                <c:pt idx="4">
                  <c:v>4.8902821316614498E-2</c:v>
                </c:pt>
                <c:pt idx="5">
                  <c:v>-3.1424622964609683E-2</c:v>
                </c:pt>
                <c:pt idx="6">
                  <c:v>-7.6178582578832366E-2</c:v>
                </c:pt>
                <c:pt idx="7">
                  <c:v>-1.6926201760324999E-2</c:v>
                </c:pt>
                <c:pt idx="8">
                  <c:v>-1.806407634628493E-2</c:v>
                </c:pt>
                <c:pt idx="9">
                  <c:v>0.22854188210961746</c:v>
                </c:pt>
                <c:pt idx="10">
                  <c:v>0.41485714285714281</c:v>
                </c:pt>
                <c:pt idx="11">
                  <c:v>-0.2142857142857143</c:v>
                </c:pt>
                <c:pt idx="12">
                  <c:v>0.2432432432432432</c:v>
                </c:pt>
                <c:pt idx="13">
                  <c:v>0.3451986754966887</c:v>
                </c:pt>
                <c:pt idx="14">
                  <c:v>5.3971174486353801E-2</c:v>
                </c:pt>
                <c:pt idx="15">
                  <c:v>0.14243498817966893</c:v>
                </c:pt>
                <c:pt idx="16">
                  <c:v>0.13849287169042768</c:v>
                </c:pt>
                <c:pt idx="17">
                  <c:v>0.34698370761778952</c:v>
                </c:pt>
                <c:pt idx="18">
                  <c:v>-0.41419732985998048</c:v>
                </c:pt>
                <c:pt idx="19">
                  <c:v>0.57258064516129026</c:v>
                </c:pt>
                <c:pt idx="20">
                  <c:v>0.17323097463284376</c:v>
                </c:pt>
                <c:pt idx="21">
                  <c:v>-0.22806021016756606</c:v>
                </c:pt>
                <c:pt idx="22">
                  <c:v>8.6353944562899798E-2</c:v>
                </c:pt>
                <c:pt idx="23">
                  <c:v>-0.12960000000000005</c:v>
                </c:pt>
                <c:pt idx="24">
                  <c:v>-0.13045045045045045</c:v>
                </c:pt>
                <c:pt idx="25">
                  <c:v>-0.26863806747188668</c:v>
                </c:pt>
                <c:pt idx="26">
                  <c:v>1.806888763410508E-2</c:v>
                </c:pt>
                <c:pt idx="27">
                  <c:v>7.0844686648501298E-3</c:v>
                </c:pt>
                <c:pt idx="28">
                  <c:v>-0.1548318206086492</c:v>
                </c:pt>
                <c:pt idx="29">
                  <c:v>0.21631878557874762</c:v>
                </c:pt>
                <c:pt idx="30">
                  <c:v>8.8922764227642226E-2</c:v>
                </c:pt>
                <c:pt idx="31">
                  <c:v>-0.1342947273546643</c:v>
                </c:pt>
                <c:pt idx="32">
                  <c:v>-0.4504643962848297</c:v>
                </c:pt>
                <c:pt idx="33">
                  <c:v>-0.18450184501845024</c:v>
                </c:pt>
              </c:numCache>
            </c:numRef>
          </c:val>
          <c:extLst>
            <c:ext xmlns:c16="http://schemas.microsoft.com/office/drawing/2014/chart" uri="{C3380CC4-5D6E-409C-BE32-E72D297353CC}">
              <c16:uniqueId val="{00000002-4032-F64B-858C-3A6BED9C386C}"/>
            </c:ext>
          </c:extLst>
        </c:ser>
        <c:ser>
          <c:idx val="3"/>
          <c:order val="3"/>
          <c:tx>
            <c:strRef>
              <c:f>Weighted_Time_Visual!$E$1</c:f>
              <c:strCache>
                <c:ptCount val="1"/>
                <c:pt idx="0">
                  <c:v>Palladium annual return</c:v>
                </c:pt>
              </c:strCache>
            </c:strRef>
          </c:tx>
          <c:spPr>
            <a:solidFill>
              <a:schemeClr val="accent2">
                <a:lumMod val="60000"/>
              </a:schemeClr>
            </a:solidFill>
            <a:ln>
              <a:noFill/>
            </a:ln>
            <a:effectLst/>
          </c:spPr>
          <c:cat>
            <c:numRef>
              <c:f>Weighted_Time_Visual!$A$2:$A$35</c:f>
              <c:numCache>
                <c:formatCode>General</c:formatCode>
                <c:ptCount val="34"/>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pt idx="33">
                  <c:v>2023</c:v>
                </c:pt>
              </c:numCache>
            </c:numRef>
          </c:cat>
          <c:val>
            <c:numRef>
              <c:f>Weighted_Time_Visual!$E$2:$E$35</c:f>
              <c:numCache>
                <c:formatCode>0.00%</c:formatCode>
                <c:ptCount val="34"/>
                <c:pt idx="0">
                  <c:v>-0.35263054957950324</c:v>
                </c:pt>
                <c:pt idx="1">
                  <c:v>-2.5421133231240511E-2</c:v>
                </c:pt>
                <c:pt idx="2">
                  <c:v>0.33228840125391845</c:v>
                </c:pt>
                <c:pt idx="3">
                  <c:v>0.1625882352941177</c:v>
                </c:pt>
                <c:pt idx="4">
                  <c:v>0.2587763289869609</c:v>
                </c:pt>
                <c:pt idx="5">
                  <c:v>-0.17903303015797034</c:v>
                </c:pt>
                <c:pt idx="6">
                  <c:v>-9.3294460641399457E-2</c:v>
                </c:pt>
                <c:pt idx="7">
                  <c:v>0.68049792531120334</c:v>
                </c:pt>
                <c:pt idx="8">
                  <c:v>0.6276202219482121</c:v>
                </c:pt>
                <c:pt idx="9">
                  <c:v>0.33830104321907606</c:v>
                </c:pt>
                <c:pt idx="10">
                  <c:v>1.1691093573844418</c:v>
                </c:pt>
                <c:pt idx="11">
                  <c:v>-0.54611398963730573</c:v>
                </c:pt>
                <c:pt idx="12">
                  <c:v>-0.45995423340961095</c:v>
                </c:pt>
                <c:pt idx="13">
                  <c:v>-0.17197452229299359</c:v>
                </c:pt>
                <c:pt idx="14">
                  <c:v>-4.6632124352331661E-2</c:v>
                </c:pt>
                <c:pt idx="15">
                  <c:v>0.43888888888888888</c:v>
                </c:pt>
                <c:pt idx="16">
                  <c:v>0.23098859315589348</c:v>
                </c:pt>
                <c:pt idx="17">
                  <c:v>8.8588588588588646E-2</c:v>
                </c:pt>
                <c:pt idx="18">
                  <c:v>-0.50539811066126861</c:v>
                </c:pt>
                <c:pt idx="19">
                  <c:v>1.118918918918919</c:v>
                </c:pt>
                <c:pt idx="20">
                  <c:v>0.89536266349583826</c:v>
                </c:pt>
                <c:pt idx="21">
                  <c:v>-0.1967005076142132</c:v>
                </c:pt>
                <c:pt idx="22">
                  <c:v>6.899166034874904E-2</c:v>
                </c:pt>
                <c:pt idx="23">
                  <c:v>4.2313117066290484E-3</c:v>
                </c:pt>
                <c:pt idx="24">
                  <c:v>0.12102351313969573</c:v>
                </c:pt>
                <c:pt idx="25">
                  <c:v>-0.30119722747321986</c:v>
                </c:pt>
                <c:pt idx="26">
                  <c:v>0.2215132178669097</c:v>
                </c:pt>
                <c:pt idx="27">
                  <c:v>0.52158273381294973</c:v>
                </c:pt>
                <c:pt idx="28">
                  <c:v>0.17608897126969425</c:v>
                </c:pt>
                <c:pt idx="29">
                  <c:v>0.51185770750988135</c:v>
                </c:pt>
                <c:pt idx="30">
                  <c:v>0.20944558521560586</c:v>
                </c:pt>
                <c:pt idx="31">
                  <c:v>-0.19946644777344547</c:v>
                </c:pt>
                <c:pt idx="32">
                  <c:v>-0.52472089314194581</c:v>
                </c:pt>
                <c:pt idx="33">
                  <c:v>-0.36315643234231731</c:v>
                </c:pt>
              </c:numCache>
            </c:numRef>
          </c:val>
          <c:extLst>
            <c:ext xmlns:c16="http://schemas.microsoft.com/office/drawing/2014/chart" uri="{C3380CC4-5D6E-409C-BE32-E72D297353CC}">
              <c16:uniqueId val="{00000003-4032-F64B-858C-3A6BED9C386C}"/>
            </c:ext>
          </c:extLst>
        </c:ser>
        <c:dLbls>
          <c:showLegendKey val="0"/>
          <c:showVal val="0"/>
          <c:showCatName val="0"/>
          <c:showSerName val="0"/>
          <c:showPercent val="0"/>
          <c:showBubbleSize val="0"/>
        </c:dLbls>
        <c:axId val="160229983"/>
        <c:axId val="2127544159"/>
      </c:areaChart>
      <c:catAx>
        <c:axId val="160229983"/>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2127544159"/>
        <c:crosses val="autoZero"/>
        <c:auto val="1"/>
        <c:lblAlgn val="ctr"/>
        <c:lblOffset val="100"/>
        <c:noMultiLvlLbl val="0"/>
      </c:catAx>
      <c:valAx>
        <c:axId val="2127544159"/>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22998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r>
              <a:rPr lang="en-US" sz="1000" b="1">
                <a:solidFill>
                  <a:sysClr val="windowText" lastClr="000000"/>
                </a:solidFill>
              </a:rPr>
              <a:t>Average Of Daily Returns For Each Metal</a:t>
            </a:r>
          </a:p>
          <a:p>
            <a:pPr>
              <a:defRPr sz="1000"/>
            </a:pPr>
            <a:r>
              <a:rPr lang="en-US" sz="1000" b="1">
                <a:solidFill>
                  <a:sysClr val="windowText" lastClr="000000"/>
                </a:solidFill>
              </a:rPr>
              <a:t>(1990-2023)</a:t>
            </a:r>
          </a:p>
        </c:rich>
      </c:tx>
      <c:layout>
        <c:manualLayout>
          <c:xMode val="edge"/>
          <c:yMode val="edge"/>
          <c:x val="0.14074999999999999"/>
          <c:y val="4.9180327868852458E-2"/>
        </c:manualLayout>
      </c:layout>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'Returns&amp;Volatility_Visuals'!$C$9</c:f>
              <c:strCache>
                <c:ptCount val="1"/>
                <c:pt idx="0">
                  <c:v>Average of daily returns (1990-2023)</c:v>
                </c:pt>
              </c:strCache>
            </c:strRef>
          </c:tx>
          <c:spPr>
            <a:solidFill>
              <a:schemeClr val="accent2"/>
            </a:solidFill>
            <a:ln>
              <a:noFill/>
            </a:ln>
            <a:effectLst/>
          </c:spPr>
          <c:invertIfNegative val="0"/>
          <c:cat>
            <c:strRef>
              <c:f>'Returns&amp;Volatility_Visuals'!$B$10:$B$13</c:f>
              <c:strCache>
                <c:ptCount val="4"/>
                <c:pt idx="0">
                  <c:v>Palladium</c:v>
                </c:pt>
                <c:pt idx="1">
                  <c:v>Platinum</c:v>
                </c:pt>
                <c:pt idx="2">
                  <c:v>Gold</c:v>
                </c:pt>
                <c:pt idx="3">
                  <c:v>Silver</c:v>
                </c:pt>
              </c:strCache>
            </c:strRef>
          </c:cat>
          <c:val>
            <c:numRef>
              <c:f>'Returns&amp;Volatility_Visuals'!$C$10:$C$13</c:f>
              <c:numCache>
                <c:formatCode>0.0000%</c:formatCode>
                <c:ptCount val="4"/>
                <c:pt idx="0">
                  <c:v>0.04</c:v>
                </c:pt>
                <c:pt idx="1">
                  <c:v>0.03</c:v>
                </c:pt>
                <c:pt idx="2">
                  <c:v>0.02</c:v>
                </c:pt>
                <c:pt idx="3">
                  <c:v>0.02</c:v>
                </c:pt>
              </c:numCache>
            </c:numRef>
          </c:val>
          <c:extLst>
            <c:ext xmlns:c16="http://schemas.microsoft.com/office/drawing/2014/chart" uri="{C3380CC4-5D6E-409C-BE32-E72D297353CC}">
              <c16:uniqueId val="{00000000-2AD4-9B43-852B-224FDB59CDAE}"/>
            </c:ext>
          </c:extLst>
        </c:ser>
        <c:dLbls>
          <c:showLegendKey val="0"/>
          <c:showVal val="0"/>
          <c:showCatName val="0"/>
          <c:showSerName val="0"/>
          <c:showPercent val="0"/>
          <c:showBubbleSize val="0"/>
        </c:dLbls>
        <c:gapWidth val="219"/>
        <c:overlap val="-27"/>
        <c:axId val="2032370512"/>
        <c:axId val="2035875104"/>
      </c:barChart>
      <c:catAx>
        <c:axId val="2032370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2035875104"/>
        <c:crosses val="autoZero"/>
        <c:auto val="1"/>
        <c:lblAlgn val="ctr"/>
        <c:lblOffset val="100"/>
        <c:noMultiLvlLbl val="0"/>
      </c:catAx>
      <c:valAx>
        <c:axId val="2035875104"/>
        <c:scaling>
          <c:orientation val="minMax"/>
        </c:scaling>
        <c:delete val="0"/>
        <c:axPos val="l"/>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23705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r>
              <a:rPr lang="en-GB" sz="1000" b="1">
                <a:solidFill>
                  <a:sysClr val="windowText" lastClr="000000"/>
                </a:solidFill>
              </a:rPr>
              <a:t>Volatility For Each Metal</a:t>
            </a:r>
          </a:p>
          <a:p>
            <a:pPr>
              <a:defRPr sz="1000"/>
            </a:pPr>
            <a:r>
              <a:rPr lang="en-GB" sz="1000" b="1" baseline="0">
                <a:solidFill>
                  <a:sysClr val="windowText" lastClr="000000"/>
                </a:solidFill>
              </a:rPr>
              <a:t>(1990-2023) </a:t>
            </a:r>
            <a:endParaRPr lang="en-GB" sz="1000" b="1">
              <a:solidFill>
                <a:sysClr val="windowText" lastClr="000000"/>
              </a:solidFill>
            </a:endParaRPr>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'Returns&amp;Volatility_Visuals'!$C$17</c:f>
              <c:strCache>
                <c:ptCount val="1"/>
                <c:pt idx="0">
                  <c:v>Volatility(Standard deviation of daily returns)(1990-2023)</c:v>
                </c:pt>
              </c:strCache>
            </c:strRef>
          </c:tx>
          <c:spPr>
            <a:solidFill>
              <a:schemeClr val="accent6"/>
            </a:solidFill>
            <a:ln>
              <a:noFill/>
            </a:ln>
            <a:effectLst/>
          </c:spPr>
          <c:invertIfNegative val="0"/>
          <c:cat>
            <c:strRef>
              <c:f>'Returns&amp;Volatility_Visuals'!$B$18:$B$21</c:f>
              <c:strCache>
                <c:ptCount val="4"/>
                <c:pt idx="0">
                  <c:v>Silver</c:v>
                </c:pt>
                <c:pt idx="1">
                  <c:v>Gold</c:v>
                </c:pt>
                <c:pt idx="2">
                  <c:v>Platinum</c:v>
                </c:pt>
                <c:pt idx="3">
                  <c:v>Palladium</c:v>
                </c:pt>
              </c:strCache>
            </c:strRef>
          </c:cat>
          <c:val>
            <c:numRef>
              <c:f>'Returns&amp;Volatility_Visuals'!$C$18:$C$21</c:f>
              <c:numCache>
                <c:formatCode>0.0000%</c:formatCode>
                <c:ptCount val="4"/>
                <c:pt idx="0">
                  <c:v>1.8781998995220477E-2</c:v>
                </c:pt>
                <c:pt idx="1">
                  <c:v>2.3163549179502366E-2</c:v>
                </c:pt>
                <c:pt idx="2">
                  <c:v>3.1463690206633706E-2</c:v>
                </c:pt>
                <c:pt idx="3">
                  <c:v>3.7876055712008035E-2</c:v>
                </c:pt>
              </c:numCache>
            </c:numRef>
          </c:val>
          <c:extLst>
            <c:ext xmlns:c16="http://schemas.microsoft.com/office/drawing/2014/chart" uri="{C3380CC4-5D6E-409C-BE32-E72D297353CC}">
              <c16:uniqueId val="{00000000-B164-1447-B576-A86DAAC26F96}"/>
            </c:ext>
          </c:extLst>
        </c:ser>
        <c:dLbls>
          <c:showLegendKey val="0"/>
          <c:showVal val="0"/>
          <c:showCatName val="0"/>
          <c:showSerName val="0"/>
          <c:showPercent val="0"/>
          <c:showBubbleSize val="0"/>
        </c:dLbls>
        <c:gapWidth val="219"/>
        <c:overlap val="-27"/>
        <c:axId val="2032374832"/>
        <c:axId val="2035838832"/>
      </c:barChart>
      <c:catAx>
        <c:axId val="20323748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2035838832"/>
        <c:crosses val="autoZero"/>
        <c:auto val="1"/>
        <c:lblAlgn val="ctr"/>
        <c:lblOffset val="100"/>
        <c:noMultiLvlLbl val="0"/>
      </c:catAx>
      <c:valAx>
        <c:axId val="2035838832"/>
        <c:scaling>
          <c:orientation val="minMax"/>
        </c:scaling>
        <c:delete val="0"/>
        <c:axPos val="l"/>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20323748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spc="0" baseline="0">
                <a:solidFill>
                  <a:schemeClr val="tx1"/>
                </a:solidFill>
                <a:latin typeface="+mn-lt"/>
                <a:ea typeface="+mn-ea"/>
                <a:cs typeface="+mn-cs"/>
              </a:defRPr>
            </a:pPr>
            <a:r>
              <a:rPr lang="en-GB" sz="1100" b="1">
                <a:solidFill>
                  <a:schemeClr val="tx1"/>
                </a:solidFill>
              </a:rPr>
              <a:t>Comparion</a:t>
            </a:r>
            <a:r>
              <a:rPr lang="en-GB" sz="1100" b="1" baseline="0">
                <a:solidFill>
                  <a:schemeClr val="tx1"/>
                </a:solidFill>
              </a:rPr>
              <a:t> of volatility during periods of unstable market (inflation fluctuation) </a:t>
            </a:r>
            <a:endParaRPr lang="en-GB" sz="1100" b="1">
              <a:solidFill>
                <a:schemeClr val="tx1"/>
              </a:solidFill>
            </a:endParaRPr>
          </a:p>
        </c:rich>
      </c:tx>
      <c:overlay val="0"/>
      <c:spPr>
        <a:noFill/>
        <a:ln>
          <a:noFill/>
        </a:ln>
        <a:effectLst/>
      </c:spPr>
      <c:txPr>
        <a:bodyPr rot="0" spcFirstLastPara="1" vertOverflow="ellipsis" vert="horz" wrap="square" anchor="ctr" anchorCtr="1"/>
        <a:lstStyle/>
        <a:p>
          <a:pPr>
            <a:defRPr sz="1100" b="1" i="0" u="none" strike="noStrike" kern="1200" spc="0" baseline="0">
              <a:solidFill>
                <a:schemeClr val="tx1"/>
              </a:solidFill>
              <a:latin typeface="+mn-lt"/>
              <a:ea typeface="+mn-ea"/>
              <a:cs typeface="+mn-cs"/>
            </a:defRPr>
          </a:pPr>
          <a:endParaRPr lang="en-US"/>
        </a:p>
      </c:txPr>
    </c:title>
    <c:autoTitleDeleted val="0"/>
    <c:plotArea>
      <c:layout/>
      <c:barChart>
        <c:barDir val="col"/>
        <c:grouping val="clustered"/>
        <c:varyColors val="0"/>
        <c:ser>
          <c:idx val="0"/>
          <c:order val="0"/>
          <c:tx>
            <c:strRef>
              <c:f>'Returns&amp;Volatility_Visuals'!$C$44</c:f>
              <c:strCache>
                <c:ptCount val="1"/>
                <c:pt idx="0">
                  <c:v>Volatility (1991-1994)</c:v>
                </c:pt>
              </c:strCache>
            </c:strRef>
          </c:tx>
          <c:spPr>
            <a:solidFill>
              <a:schemeClr val="accent2"/>
            </a:solidFill>
            <a:ln>
              <a:noFill/>
            </a:ln>
            <a:effectLst/>
          </c:spPr>
          <c:invertIfNegative val="0"/>
          <c:cat>
            <c:strRef>
              <c:f>'Returns&amp;Volatility_Visuals'!$B$45:$B$48</c:f>
              <c:strCache>
                <c:ptCount val="4"/>
                <c:pt idx="0">
                  <c:v>Gold</c:v>
                </c:pt>
                <c:pt idx="1">
                  <c:v>Silver</c:v>
                </c:pt>
                <c:pt idx="2">
                  <c:v>Platinum</c:v>
                </c:pt>
                <c:pt idx="3">
                  <c:v>Palladium</c:v>
                </c:pt>
              </c:strCache>
            </c:strRef>
          </c:cat>
          <c:val>
            <c:numRef>
              <c:f>'Returns&amp;Volatility_Visuals'!$C$45:$C$48</c:f>
              <c:numCache>
                <c:formatCode>0.0000%</c:formatCode>
                <c:ptCount val="4"/>
                <c:pt idx="0">
                  <c:v>6.3745032545418183E-3</c:v>
                </c:pt>
                <c:pt idx="1">
                  <c:v>1.5276059719372131E-2</c:v>
                </c:pt>
                <c:pt idx="2">
                  <c:v>9.6061519333099539E-3</c:v>
                </c:pt>
                <c:pt idx="3">
                  <c:v>1.2648168857773801E-2</c:v>
                </c:pt>
              </c:numCache>
            </c:numRef>
          </c:val>
          <c:extLst>
            <c:ext xmlns:c16="http://schemas.microsoft.com/office/drawing/2014/chart" uri="{C3380CC4-5D6E-409C-BE32-E72D297353CC}">
              <c16:uniqueId val="{00000000-1684-3C46-B20C-396858D91D9C}"/>
            </c:ext>
          </c:extLst>
        </c:ser>
        <c:ser>
          <c:idx val="1"/>
          <c:order val="1"/>
          <c:tx>
            <c:strRef>
              <c:f>'Returns&amp;Volatility_Visuals'!$D$44</c:f>
              <c:strCache>
                <c:ptCount val="1"/>
                <c:pt idx="0">
                  <c:v>Volatility (2007-2009)</c:v>
                </c:pt>
              </c:strCache>
            </c:strRef>
          </c:tx>
          <c:spPr>
            <a:solidFill>
              <a:schemeClr val="accent4"/>
            </a:solidFill>
            <a:ln>
              <a:noFill/>
            </a:ln>
            <a:effectLst/>
          </c:spPr>
          <c:invertIfNegative val="0"/>
          <c:cat>
            <c:strRef>
              <c:f>'Returns&amp;Volatility_Visuals'!$B$45:$B$48</c:f>
              <c:strCache>
                <c:ptCount val="4"/>
                <c:pt idx="0">
                  <c:v>Gold</c:v>
                </c:pt>
                <c:pt idx="1">
                  <c:v>Silver</c:v>
                </c:pt>
                <c:pt idx="2">
                  <c:v>Platinum</c:v>
                </c:pt>
                <c:pt idx="3">
                  <c:v>Palladium</c:v>
                </c:pt>
              </c:strCache>
            </c:strRef>
          </c:cat>
          <c:val>
            <c:numRef>
              <c:f>'Returns&amp;Volatility_Visuals'!$D$45:$D$48</c:f>
              <c:numCache>
                <c:formatCode>0.0000%</c:formatCode>
                <c:ptCount val="4"/>
                <c:pt idx="0">
                  <c:v>1.4211726753578586E-2</c:v>
                </c:pt>
                <c:pt idx="1">
                  <c:v>2.587454539216354E-2</c:v>
                </c:pt>
                <c:pt idx="2">
                  <c:v>1.9026863220711298E-2</c:v>
                </c:pt>
                <c:pt idx="3">
                  <c:v>2.3831105281041813E-2</c:v>
                </c:pt>
              </c:numCache>
            </c:numRef>
          </c:val>
          <c:extLst>
            <c:ext xmlns:c16="http://schemas.microsoft.com/office/drawing/2014/chart" uri="{C3380CC4-5D6E-409C-BE32-E72D297353CC}">
              <c16:uniqueId val="{00000001-1684-3C46-B20C-396858D91D9C}"/>
            </c:ext>
          </c:extLst>
        </c:ser>
        <c:ser>
          <c:idx val="2"/>
          <c:order val="2"/>
          <c:tx>
            <c:strRef>
              <c:f>'Returns&amp;Volatility_Visuals'!$E$44</c:f>
              <c:strCache>
                <c:ptCount val="1"/>
                <c:pt idx="0">
                  <c:v>Volatility (2010-2012)</c:v>
                </c:pt>
              </c:strCache>
            </c:strRef>
          </c:tx>
          <c:spPr>
            <a:solidFill>
              <a:schemeClr val="accent6"/>
            </a:solidFill>
            <a:ln>
              <a:noFill/>
            </a:ln>
            <a:effectLst/>
          </c:spPr>
          <c:invertIfNegative val="0"/>
          <c:cat>
            <c:strRef>
              <c:f>'Returns&amp;Volatility_Visuals'!$B$45:$B$48</c:f>
              <c:strCache>
                <c:ptCount val="4"/>
                <c:pt idx="0">
                  <c:v>Gold</c:v>
                </c:pt>
                <c:pt idx="1">
                  <c:v>Silver</c:v>
                </c:pt>
                <c:pt idx="2">
                  <c:v>Platinum</c:v>
                </c:pt>
                <c:pt idx="3">
                  <c:v>Palladium</c:v>
                </c:pt>
              </c:strCache>
            </c:strRef>
          </c:cat>
          <c:val>
            <c:numRef>
              <c:f>'Returns&amp;Volatility_Visuals'!$E$45:$E$48</c:f>
              <c:numCache>
                <c:formatCode>0.0000%</c:formatCode>
                <c:ptCount val="4"/>
                <c:pt idx="0">
                  <c:v>1.0588780619625411E-2</c:v>
                </c:pt>
                <c:pt idx="1">
                  <c:v>2.727627411046242E-2</c:v>
                </c:pt>
                <c:pt idx="2">
                  <c:v>1.2468470071107476E-2</c:v>
                </c:pt>
                <c:pt idx="3">
                  <c:v>4.7442156467543461E-2</c:v>
                </c:pt>
              </c:numCache>
            </c:numRef>
          </c:val>
          <c:extLst>
            <c:ext xmlns:c16="http://schemas.microsoft.com/office/drawing/2014/chart" uri="{C3380CC4-5D6E-409C-BE32-E72D297353CC}">
              <c16:uniqueId val="{00000002-1684-3C46-B20C-396858D91D9C}"/>
            </c:ext>
          </c:extLst>
        </c:ser>
        <c:ser>
          <c:idx val="3"/>
          <c:order val="3"/>
          <c:tx>
            <c:strRef>
              <c:f>'Returns&amp;Volatility_Visuals'!$F$44</c:f>
              <c:strCache>
                <c:ptCount val="1"/>
                <c:pt idx="0">
                  <c:v>Volatility (2013-2017)</c:v>
                </c:pt>
              </c:strCache>
            </c:strRef>
          </c:tx>
          <c:spPr>
            <a:solidFill>
              <a:schemeClr val="accent2">
                <a:lumMod val="60000"/>
              </a:schemeClr>
            </a:solidFill>
            <a:ln>
              <a:noFill/>
            </a:ln>
            <a:effectLst/>
          </c:spPr>
          <c:invertIfNegative val="0"/>
          <c:cat>
            <c:strRef>
              <c:f>'Returns&amp;Volatility_Visuals'!$B$45:$B$48</c:f>
              <c:strCache>
                <c:ptCount val="4"/>
                <c:pt idx="0">
                  <c:v>Gold</c:v>
                </c:pt>
                <c:pt idx="1">
                  <c:v>Silver</c:v>
                </c:pt>
                <c:pt idx="2">
                  <c:v>Platinum</c:v>
                </c:pt>
                <c:pt idx="3">
                  <c:v>Palladium</c:v>
                </c:pt>
              </c:strCache>
            </c:strRef>
          </c:cat>
          <c:val>
            <c:numRef>
              <c:f>'Returns&amp;Volatility_Visuals'!$F$45:$F$48</c:f>
              <c:numCache>
                <c:formatCode>0.0000%</c:formatCode>
                <c:ptCount val="4"/>
                <c:pt idx="0">
                  <c:v>6.8778643828025328E-3</c:v>
                </c:pt>
                <c:pt idx="1">
                  <c:v>1.4472516313255655E-2</c:v>
                </c:pt>
                <c:pt idx="2">
                  <c:v>1.0946320850441078E-2</c:v>
                </c:pt>
                <c:pt idx="3">
                  <c:v>1.512535886619569E-2</c:v>
                </c:pt>
              </c:numCache>
            </c:numRef>
          </c:val>
          <c:extLst>
            <c:ext xmlns:c16="http://schemas.microsoft.com/office/drawing/2014/chart" uri="{C3380CC4-5D6E-409C-BE32-E72D297353CC}">
              <c16:uniqueId val="{00000003-1684-3C46-B20C-396858D91D9C}"/>
            </c:ext>
          </c:extLst>
        </c:ser>
        <c:ser>
          <c:idx val="4"/>
          <c:order val="4"/>
          <c:tx>
            <c:strRef>
              <c:f>'Returns&amp;Volatility_Visuals'!$G$44</c:f>
              <c:strCache>
                <c:ptCount val="1"/>
                <c:pt idx="0">
                  <c:v>Volatility (2018-2022)</c:v>
                </c:pt>
              </c:strCache>
            </c:strRef>
          </c:tx>
          <c:spPr>
            <a:solidFill>
              <a:schemeClr val="accent4">
                <a:lumMod val="60000"/>
              </a:schemeClr>
            </a:solidFill>
            <a:ln>
              <a:noFill/>
            </a:ln>
            <a:effectLst/>
          </c:spPr>
          <c:invertIfNegative val="0"/>
          <c:cat>
            <c:strRef>
              <c:f>'Returns&amp;Volatility_Visuals'!$B$45:$B$48</c:f>
              <c:strCache>
                <c:ptCount val="4"/>
                <c:pt idx="0">
                  <c:v>Gold</c:v>
                </c:pt>
                <c:pt idx="1">
                  <c:v>Silver</c:v>
                </c:pt>
                <c:pt idx="2">
                  <c:v>Platinum</c:v>
                </c:pt>
                <c:pt idx="3">
                  <c:v>Palladium</c:v>
                </c:pt>
              </c:strCache>
            </c:strRef>
          </c:cat>
          <c:val>
            <c:numRef>
              <c:f>'Returns&amp;Volatility_Visuals'!$G$45:$G$48</c:f>
              <c:numCache>
                <c:formatCode>0.0000%</c:formatCode>
                <c:ptCount val="4"/>
                <c:pt idx="0">
                  <c:v>3.5630350312530083E-2</c:v>
                </c:pt>
                <c:pt idx="1">
                  <c:v>1.7785501428044876E-2</c:v>
                </c:pt>
                <c:pt idx="2">
                  <c:v>4.0651431049971709E-2</c:v>
                </c:pt>
                <c:pt idx="3">
                  <c:v>4.4262948110063281E-2</c:v>
                </c:pt>
              </c:numCache>
            </c:numRef>
          </c:val>
          <c:extLst>
            <c:ext xmlns:c16="http://schemas.microsoft.com/office/drawing/2014/chart" uri="{C3380CC4-5D6E-409C-BE32-E72D297353CC}">
              <c16:uniqueId val="{00000004-1684-3C46-B20C-396858D91D9C}"/>
            </c:ext>
          </c:extLst>
        </c:ser>
        <c:dLbls>
          <c:showLegendKey val="0"/>
          <c:showVal val="0"/>
          <c:showCatName val="0"/>
          <c:showSerName val="0"/>
          <c:showPercent val="0"/>
          <c:showBubbleSize val="0"/>
        </c:dLbls>
        <c:gapWidth val="219"/>
        <c:overlap val="-27"/>
        <c:axId val="429547664"/>
        <c:axId val="506118400"/>
      </c:barChart>
      <c:catAx>
        <c:axId val="4295476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6118400"/>
        <c:crosses val="autoZero"/>
        <c:auto val="1"/>
        <c:lblAlgn val="ctr"/>
        <c:lblOffset val="100"/>
        <c:noMultiLvlLbl val="0"/>
      </c:catAx>
      <c:valAx>
        <c:axId val="506118400"/>
        <c:scaling>
          <c:orientation val="minMax"/>
        </c:scaling>
        <c:delete val="0"/>
        <c:axPos val="l"/>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95476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301</Words>
  <Characters>1721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Farimah Beigi</dc:creator>
  <cp:keywords/>
  <dc:description/>
  <cp:lastModifiedBy>Farimah Beigi</cp:lastModifiedBy>
  <cp:revision>2</cp:revision>
  <dcterms:created xsi:type="dcterms:W3CDTF">2023-12-13T10:33:00Z</dcterms:created>
  <dcterms:modified xsi:type="dcterms:W3CDTF">2023-12-13T10:33:00Z</dcterms:modified>
</cp:coreProperties>
</file>