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Segoe UI" w:hAnsi="Segoe UI"/>
          <w:b/>
          <w:color w:val="1E1B4B"/>
          <w:sz w:val="40"/>
        </w:rPr>
        <w:t>Business Reports and Analytics Flowchart</w:t>
      </w:r>
    </w:p>
    <w:p>
      <w:pPr>
        <w:spacing w:after="200"/>
      </w:pPr>
      <w:r>
        <w:rPr>
          <w:rFonts w:ascii="Segoe UI" w:hAnsi="Segoe UI"/>
          <w:color w:val="EC4899"/>
          <w:sz w:val="20"/>
        </w:rPr>
        <w:t>System: ADC Gadgets  |  Portal: Admin Portal (Management Side)  |  Page File: src/admin/reports.html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8FAFC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after="40"/>
            </w:pPr>
            <w:r>
              <w:rPr>
                <w:b/>
                <w:color w:val="475569"/>
                <w:sz w:val="19"/>
              </w:rPr>
              <w:t>FUNCTIONAL SUMMARY &amp; SCOPE:</w:t>
              <w:br/>
            </w:r>
            <w:r>
              <w:rPr>
                <w:color w:val="0F172A"/>
                <w:sz w:val="18"/>
              </w:rPr>
              <w:t>Compiles financial analytics, collection efficiency, loan disbursement volume, and inventory velocity for administrative reporting.</w:t>
              <w:br/>
              <w:t>Note: In accordance with system directives, there are no online loan requests. Admin provisions user accounts directly from face-to-face agreements.</w:t>
            </w:r>
          </w:p>
        </w:tc>
      </w:tr>
    </w:tbl>
    <w:p>
      <w:pPr>
        <w:spacing w:after="160"/>
      </w:pPr>
    </w:p>
    <w:p>
      <w:pPr>
        <w:spacing w:before="160" w:after="80"/>
      </w:pPr>
      <w:r>
        <w:rPr>
          <w:rFonts w:ascii="Segoe UI" w:hAnsi="Segoe UI"/>
          <w:b/>
          <w:color w:val="1E1B4B"/>
          <w:sz w:val="24"/>
        </w:rPr>
        <w:t>1. Flowchart Diagram (Paper-Ready Visual)</w:t>
      </w:r>
    </w:p>
    <w:p>
      <w:pPr>
        <w:spacing w:before="80" w:after="160"/>
        <w:jc w:val="center"/>
      </w:pPr>
      <w:r>
        <w:drawing>
          <wp:inline xmlns:a="http://schemas.openxmlformats.org/drawingml/2006/main" xmlns:pic="http://schemas.openxmlformats.org/drawingml/2006/picture">
            <wp:extent cx="5120640" cy="9672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_Reports_Flow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9672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pPr>
        <w:spacing w:before="160" w:after="80"/>
      </w:pPr>
      <w:r>
        <w:rPr>
          <w:rFonts w:ascii="Segoe UI" w:hAnsi="Segoe UI"/>
          <w:b/>
          <w:color w:val="1E1B4B"/>
          <w:sz w:val="24"/>
        </w:rPr>
        <w:t>2. Page Connectors (Navigation Relationships)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880"/>
            <w:shd w:fill="1E1B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Connector Symbol</w:t>
            </w:r>
          </w:p>
        </w:tc>
        <w:tc>
          <w:tcPr>
            <w:tcW w:type="dxa" w:w="2592"/>
            <w:shd w:fill="1E1B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Connector Type</w:t>
            </w:r>
          </w:p>
        </w:tc>
        <w:tc>
          <w:tcPr>
            <w:tcW w:type="dxa" w:w="4320"/>
            <w:shd w:fill="1E1B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Target Page &amp; Explanation</w:t>
            </w:r>
          </w:p>
        </w:tc>
      </w:tr>
      <w:tr>
        <w:tc>
          <w:tcPr>
            <w:tcW w:type="dxa" w:w="288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BE123C"/>
                <w:sz w:val="17"/>
              </w:rPr>
              <w:t>((From admin/dashboard.html))</w:t>
            </w:r>
          </w:p>
        </w:tc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Incoming Connector</w:t>
            </w:r>
          </w:p>
        </w:tc>
        <w:tc>
          <w:tcPr>
            <w:tcW w:type="dxa" w:w="43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Arrives from dashboard menu.</w:t>
            </w:r>
          </w:p>
        </w:tc>
      </w:tr>
    </w:tbl>
    <w:p>
      <w:pPr>
        <w:spacing w:after="80"/>
      </w:pPr>
    </w:p>
    <w:p>
      <w:pPr>
        <w:spacing w:before="160" w:after="80"/>
      </w:pPr>
      <w:r>
        <w:rPr>
          <w:rFonts w:ascii="Segoe UI" w:hAnsi="Segoe UI"/>
          <w:b/>
          <w:color w:val="1E1B4B"/>
          <w:sz w:val="24"/>
        </w:rPr>
        <w:t>3. Step-by-Step Process &amp; Logic Table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168"/>
            <w:shd w:fill="1E1B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Flowchart Step / Node</w:t>
            </w:r>
          </w:p>
        </w:tc>
        <w:tc>
          <w:tcPr>
            <w:tcW w:type="dxa" w:w="2160"/>
            <w:shd w:fill="1E1B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Flowchart Shape</w:t>
            </w:r>
          </w:p>
        </w:tc>
        <w:tc>
          <w:tcPr>
            <w:tcW w:type="dxa" w:w="4464"/>
            <w:shd w:fill="1E1B4B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b/>
                <w:color w:val="FFFFFF"/>
                <w:sz w:val="18"/>
              </w:rPr>
              <w:t>Logic &amp; Action Description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Start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7"/>
              </w:rPr>
              <w:t>Terminal</w:t>
            </w:r>
          </w:p>
        </w:tc>
        <w:tc>
          <w:tcPr>
            <w:tcW w:type="dxa" w:w="44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Admin opens reports.html.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Select Filters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7"/>
              </w:rPr>
              <w:t>Input</w:t>
            </w:r>
          </w:p>
        </w:tc>
        <w:tc>
          <w:tcPr>
            <w:tcW w:type="dxa" w:w="44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Chooses date range (daily, weekly, monthly) and category.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Aggregate DB Data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7"/>
              </w:rPr>
              <w:t>Process</w:t>
            </w:r>
          </w:p>
        </w:tc>
        <w:tc>
          <w:tcPr>
            <w:tcW w:type="dxa" w:w="44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Queries database for financial summaries.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Render Charts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7"/>
              </w:rPr>
              <w:t>Output</w:t>
            </w:r>
          </w:p>
        </w:tc>
        <w:tc>
          <w:tcPr>
            <w:tcW w:type="dxa" w:w="44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Displays visual metrics and summary tables.</w:t>
            </w:r>
          </w:p>
        </w:tc>
      </w:tr>
      <w:tr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Export Choice</w:t>
            </w:r>
          </w:p>
        </w:tc>
        <w:tc>
          <w:tcPr>
            <w:tcW w:type="dxa" w:w="216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7"/>
              </w:rPr>
              <w:t>Decision</w:t>
            </w:r>
          </w:p>
        </w:tc>
        <w:tc>
          <w:tcPr>
            <w:tcW w:type="dxa" w:w="446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Optionally downloads CSV or PDF for bookkeeping.</w:t>
            </w:r>
          </w:p>
        </w:tc>
      </w:tr>
      <w:tr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b/>
                <w:color w:val="0F172A"/>
                <w:sz w:val="17"/>
              </w:rPr>
              <w:t>End</w:t>
            </w:r>
          </w:p>
        </w:tc>
        <w:tc>
          <w:tcPr>
            <w:tcW w:type="dxa" w:w="216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475569"/>
                <w:sz w:val="17"/>
              </w:rPr>
              <w:t>Terminal</w:t>
            </w:r>
          </w:p>
        </w:tc>
        <w:tc>
          <w:tcPr>
            <w:tcW w:type="dxa" w:w="446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color w:val="334155"/>
                <w:sz w:val="17"/>
              </w:rPr>
              <w:t>Terminates current page flow.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