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Segoe UI" w:hAnsi="Segoe UI"/>
          <w:b/>
          <w:color w:val="1E1B4B"/>
          <w:sz w:val="40"/>
        </w:rPr>
        <w:t>User Login and Authentication Flowchart</w:t>
      </w:r>
    </w:p>
    <w:p>
      <w:pPr>
        <w:spacing w:after="200"/>
      </w:pPr>
      <w:r>
        <w:rPr>
          <w:rFonts w:ascii="Segoe UI" w:hAnsi="Segoe UI"/>
          <w:color w:val="EC4899"/>
          <w:sz w:val="20"/>
        </w:rPr>
        <w:t>System: ADC Gadgets  |  Portal: User Portal (Customer Side)  |  Page File: src/user/login.html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475569"/>
                <w:sz w:val="19"/>
              </w:rPr>
              <w:t>FUNCTIONAL SUMMARY &amp; SCOPE:</w:t>
              <w:br/>
            </w:r>
            <w:r>
              <w:rPr>
                <w:color w:val="0F172A"/>
                <w:sz w:val="18"/>
              </w:rPr>
              <w:t>Handles customer authentication, session token generation, error feedback, and password recovery redirection.</w:t>
              <w:br/>
              <w:t>Note: In accordance with system directives, there are no online loan requests. Admin provisions user accounts directly from face-to-face agreements.</w:t>
            </w:r>
          </w:p>
        </w:tc>
      </w:tr>
    </w:tbl>
    <w:p>
      <w:pPr>
        <w:spacing w:after="160"/>
      </w:pPr>
    </w:p>
    <w:p>
      <w:pPr>
        <w:spacing w:before="160" w:after="80"/>
      </w:pPr>
      <w:r>
        <w:rPr>
          <w:rFonts w:ascii="Segoe UI" w:hAnsi="Segoe UI"/>
          <w:b/>
          <w:color w:val="1E1B4B"/>
          <w:sz w:val="24"/>
        </w:rPr>
        <w:t>1. Flowchart Diagram (Paper-Ready Visual)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120640" cy="63237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Login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32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1E1B4B"/>
          <w:sz w:val="24"/>
        </w:rPr>
        <w:t>2. Page Connectors (Navigation Relationships)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Connector Symbol</w:t>
            </w:r>
          </w:p>
        </w:tc>
        <w:tc>
          <w:tcPr>
            <w:tcW w:type="dxa" w:w="2592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Connector Type</w:t>
            </w:r>
          </w:p>
        </w:tc>
        <w:tc>
          <w:tcPr>
            <w:tcW w:type="dxa" w:w="4320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Target Page &amp; Explanation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BE123C"/>
                <w:sz w:val="17"/>
              </w:rPr>
              <w:t>((To user-home.html))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Outgoing Connector</w:t>
            </w:r>
          </w:p>
        </w:tc>
        <w:tc>
          <w:tcPr>
            <w:tcW w:type="dxa" w:w="43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Navigates to Customer Homepage upon successful credential verification.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1E1B4B"/>
          <w:sz w:val="24"/>
        </w:rPr>
        <w:t>3. Step-by-Step Process &amp; Logic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Flowchart Step / Node</w:t>
            </w:r>
          </w:p>
        </w:tc>
        <w:tc>
          <w:tcPr>
            <w:tcW w:type="dxa" w:w="2160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Flowchart Shape</w:t>
            </w:r>
          </w:p>
        </w:tc>
        <w:tc>
          <w:tcPr>
            <w:tcW w:type="dxa" w:w="4464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Logic &amp; Action Description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Start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Terminal</w:t>
            </w:r>
          </w:p>
        </w:tc>
        <w:tc>
          <w:tcPr>
            <w:tcW w:type="dxa" w:w="44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Customer navigates to login.html directly or via redirection.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User Action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Decision</w:t>
            </w:r>
          </w:p>
        </w:tc>
        <w:tc>
          <w:tcPr>
            <w:tcW w:type="dxa" w:w="44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Customer selects either standard login or password recovery.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Enter Credentials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Input / Process</w:t>
            </w:r>
          </w:p>
        </w:tc>
        <w:tc>
          <w:tcPr>
            <w:tcW w:type="dxa" w:w="44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Customer inputs registered email and password.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Credentials Valid?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Decision</w:t>
            </w:r>
          </w:p>
        </w:tc>
        <w:tc>
          <w:tcPr>
            <w:tcW w:type="dxa" w:w="44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Backend verifies bcrypt hash in PostgreSQL users table.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Generate Session Token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Process</w:t>
            </w:r>
          </w:p>
        </w:tc>
        <w:tc>
          <w:tcPr>
            <w:tcW w:type="dxa" w:w="44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Issues secure session token stored in browser localStorage.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To user-home.html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Connector</w:t>
            </w:r>
          </w:p>
        </w:tc>
        <w:tc>
          <w:tcPr>
            <w:tcW w:type="dxa" w:w="44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Transfers execution flow to customer homepage (user-home.html).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Forgot Password Flow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Alternate Path</w:t>
            </w:r>
          </w:p>
        </w:tc>
        <w:tc>
          <w:tcPr>
            <w:tcW w:type="dxa" w:w="44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Sends secure password reset link to user's registered email.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End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Terminal</w:t>
            </w:r>
          </w:p>
        </w:tc>
        <w:tc>
          <w:tcPr>
            <w:tcW w:type="dxa" w:w="44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Terminates current page flow.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