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66273"/>
          <w:sz w:val="18"/>
        </w:rPr>
        <w:t>ARTIFACT 09</w:t>
      </w:r>
    </w:p>
    <w:p>
      <w:pPr>
        <w:pStyle w:val="Title"/>
        <w:spacing w:after="0"/>
      </w:pPr>
      <w:r>
        <w:t>Solution Evaluation &amp; Recommendations</w:t>
      </w:r>
    </w:p>
    <w:p>
      <w:pPr>
        <w:spacing w:after="200"/>
      </w:pPr>
      <w:r>
        <w:rPr>
          <w:b/>
          <w:color w:val="17365D"/>
          <w:sz w:val="24"/>
        </w:rPr>
        <w:t>San Diego Get It Done Service Operations</w:t>
      </w:r>
    </w:p>
    <w:tbl>
      <w:tblPr>
        <w:tblW w:type="auto" w:w="0"/>
        <w:jc w:val="center"/>
        <w:tblLayout w:type="fixed"/>
        <w:tblLook w:firstColumn="1" w:firstRow="1" w:lastColumn="0" w:lastRow="0" w:noHBand="0" w:noVBand="1" w:val="04A0"/>
      </w:tblPr>
      <w:tblGrid>
        <w:gridCol w:w="10080"/>
      </w:tblGrid>
      <w:tr>
        <w:tc>
          <w:tcPr>
            <w:tcW w:type="dxa" w:w="10166"/>
            <w:shd w:fill="FFF8E7"/>
            <w:tcMar>
              <w:top w:w="110" w:type="dxa"/>
              <w:start w:w="140" w:type="dxa"/>
              <w:bottom w:w="110" w:type="dxa"/>
              <w:end w:w="140" w:type="dxa"/>
            </w:tcMar>
          </w:tcPr>
          <w:p>
            <w:r>
              <w:rPr>
                <w:b/>
              </w:rPr>
              <w:t xml:space="preserve">Portfolio case study disclosure. </w:t>
            </w:r>
            <w:r>
              <w:t>This evaluation uses findings from the completed public-data Power BI project and the reconstructed BA artifacts in this repository. It does not represent City of San Diego approval, production UAT, or access to non-public operational systems.</w:t>
            </w:r>
          </w:p>
        </w:tc>
      </w:tr>
    </w:tbl>
    <w:p>
      <w:pPr>
        <w:pStyle w:val="Heading1"/>
      </w:pPr>
      <w:r>
        <w:t>1. Evaluation Purpose</w:t>
      </w:r>
    </w:p>
    <w:p>
      <w:r>
        <w:t>This artifact evaluates how well the completed Power BI solution addresses the business objectives and reconstructed requirements documented in the case study. It also converts the analytical findings into bounded recommendations while explicitly separating observed patterns from unverified root causes.</w:t>
      </w:r>
    </w:p>
    <w:p>
      <w:pPr>
        <w:pStyle w:val="Heading1"/>
      </w:pPr>
      <w:r>
        <w:t>2. Implemented Solution Overview</w:t>
      </w:r>
    </w:p>
    <w:p>
      <w:r>
        <w:t>The implemented analytical solution consolidates City of San Diego Get It Done service-request data into a Power BI model using Power Query for transformation and DAX for business measures. The portfolio solution includes an executive overview, backlog and aging metrics, council-district and service-type comparisons, monthly requests-versus-dispositions analysis, and monthly net request flow.</w:t>
      </w:r>
    </w:p>
    <w:tbl>
      <w:tblPr>
        <w:tblStyle w:val="TableGrid"/>
        <w:tblW w:type="auto" w:w="0"/>
        <w:jc w:val="center"/>
        <w:tblLayout w:type="fixed"/>
        <w:tblLook w:firstColumn="1" w:firstRow="1" w:lastColumn="0" w:lastRow="0" w:noHBand="0" w:noVBand="1" w:val="04A0"/>
      </w:tblPr>
      <w:tblGrid>
        <w:gridCol w:w="1728"/>
        <w:gridCol w:w="3240"/>
        <w:gridCol w:w="3240"/>
        <w:gridCol w:w="1944"/>
      </w:tblGrid>
      <w:tr>
        <w:tc>
          <w:tcPr>
            <w:tcW w:type="dxa" w:w="2541"/>
            <w:shd w:fill="17365D"/>
            <w:tcMar>
              <w:top w:w="90" w:type="dxa"/>
              <w:start w:w="100" w:type="dxa"/>
              <w:bottom w:w="90" w:type="dxa"/>
              <w:end w:w="100" w:type="dxa"/>
            </w:tcMar>
          </w:tcPr>
          <w:p>
            <w:r>
              <w:rPr>
                <w:b/>
                <w:color w:val="FFFFFF"/>
                <w:sz w:val="18"/>
              </w:rPr>
              <w:t>Objective</w:t>
            </w:r>
          </w:p>
        </w:tc>
        <w:tc>
          <w:tcPr>
            <w:tcW w:type="dxa" w:w="2541"/>
            <w:shd w:fill="17365D"/>
            <w:tcMar>
              <w:top w:w="90" w:type="dxa"/>
              <w:start w:w="100" w:type="dxa"/>
              <w:bottom w:w="90" w:type="dxa"/>
              <w:end w:w="100" w:type="dxa"/>
            </w:tcMar>
          </w:tcPr>
          <w:p>
            <w:r>
              <w:rPr>
                <w:b/>
                <w:color w:val="FFFFFF"/>
                <w:sz w:val="18"/>
              </w:rPr>
              <w:t>Evaluation</w:t>
            </w:r>
          </w:p>
        </w:tc>
        <w:tc>
          <w:tcPr>
            <w:tcW w:type="dxa" w:w="2541"/>
            <w:shd w:fill="17365D"/>
            <w:tcMar>
              <w:top w:w="90" w:type="dxa"/>
              <w:start w:w="100" w:type="dxa"/>
              <w:bottom w:w="90" w:type="dxa"/>
              <w:end w:w="100" w:type="dxa"/>
            </w:tcMar>
          </w:tcPr>
          <w:p>
            <w:r>
              <w:rPr>
                <w:b/>
                <w:color w:val="FFFFFF"/>
                <w:sz w:val="18"/>
              </w:rPr>
              <w:t>Evidence</w:t>
            </w:r>
          </w:p>
        </w:tc>
        <w:tc>
          <w:tcPr>
            <w:tcW w:type="dxa" w:w="2541"/>
            <w:shd w:fill="17365D"/>
            <w:tcMar>
              <w:top w:w="90" w:type="dxa"/>
              <w:start w:w="100" w:type="dxa"/>
              <w:bottom w:w="90" w:type="dxa"/>
              <w:end w:w="100" w:type="dxa"/>
            </w:tcMar>
          </w:tcPr>
          <w:p>
            <w:r>
              <w:rPr>
                <w:b/>
                <w:color w:val="FFFFFF"/>
                <w:sz w:val="18"/>
              </w:rPr>
              <w:t>Status</w:t>
            </w:r>
          </w:p>
        </w:tc>
      </w:tr>
      <w:tr>
        <w:tc>
          <w:tcPr>
            <w:tcW w:type="dxa" w:w="1728"/>
            <w:tcMar>
              <w:top w:w="90" w:type="dxa"/>
              <w:start w:w="100" w:type="dxa"/>
              <w:bottom w:w="90" w:type="dxa"/>
              <w:end w:w="100" w:type="dxa"/>
            </w:tcMar>
            <w:vAlign w:val="top"/>
          </w:tcPr>
          <w:p>
            <w:r>
              <w:rPr>
                <w:sz w:val="17"/>
              </w:rPr>
              <w:t>BO-1</w:t>
            </w:r>
          </w:p>
        </w:tc>
        <w:tc>
          <w:tcPr>
            <w:tcW w:type="dxa" w:w="3240"/>
            <w:tcMar>
              <w:top w:w="90" w:type="dxa"/>
              <w:start w:w="100" w:type="dxa"/>
              <w:bottom w:w="90" w:type="dxa"/>
              <w:end w:w="100" w:type="dxa"/>
            </w:tcMar>
            <w:vAlign w:val="top"/>
          </w:tcPr>
          <w:p>
            <w:r>
              <w:rPr>
                <w:sz w:val="17"/>
              </w:rPr>
              <w:t>Create a structured view of workload and backlog that supports prioritization.</w:t>
            </w:r>
          </w:p>
        </w:tc>
        <w:tc>
          <w:tcPr>
            <w:tcW w:type="dxa" w:w="3240"/>
            <w:tcMar>
              <w:top w:w="90" w:type="dxa"/>
              <w:start w:w="100" w:type="dxa"/>
              <w:bottom w:w="90" w:type="dxa"/>
              <w:end w:w="100" w:type="dxa"/>
            </w:tcMar>
            <w:vAlign w:val="top"/>
          </w:tcPr>
          <w:p>
            <w:r>
              <w:rPr>
                <w:sz w:val="17"/>
              </w:rPr>
              <w:t>Executive Overview, backlog KPIs, district/service-type views.</w:t>
            </w:r>
          </w:p>
        </w:tc>
        <w:tc>
          <w:tcPr>
            <w:tcW w:type="dxa" w:w="1944"/>
            <w:tcMar>
              <w:top w:w="90" w:type="dxa"/>
              <w:start w:w="100" w:type="dxa"/>
              <w:bottom w:w="90" w:type="dxa"/>
              <w:end w:w="100" w:type="dxa"/>
            </w:tcMar>
            <w:vAlign w:val="top"/>
            <w:shd w:fill="EAF4E3"/>
          </w:tcPr>
          <w:p>
            <w:r>
              <w:rPr>
                <w:sz w:val="17"/>
              </w:rPr>
              <w:t>Demonstrated</w:t>
            </w:r>
          </w:p>
        </w:tc>
      </w:tr>
      <w:tr>
        <w:tc>
          <w:tcPr>
            <w:tcW w:type="dxa" w:w="1728"/>
            <w:tcMar>
              <w:top w:w="90" w:type="dxa"/>
              <w:start w:w="100" w:type="dxa"/>
              <w:bottom w:w="90" w:type="dxa"/>
              <w:end w:w="100" w:type="dxa"/>
            </w:tcMar>
            <w:vAlign w:val="top"/>
          </w:tcPr>
          <w:p>
            <w:r>
              <w:rPr>
                <w:sz w:val="17"/>
              </w:rPr>
              <w:t>BO-2</w:t>
            </w:r>
          </w:p>
        </w:tc>
        <w:tc>
          <w:tcPr>
            <w:tcW w:type="dxa" w:w="3240"/>
            <w:tcMar>
              <w:top w:w="90" w:type="dxa"/>
              <w:start w:w="100" w:type="dxa"/>
              <w:bottom w:w="90" w:type="dxa"/>
              <w:end w:w="100" w:type="dxa"/>
            </w:tcMar>
            <w:vAlign w:val="top"/>
          </w:tcPr>
          <w:p>
            <w:r>
              <w:rPr>
                <w:sz w:val="17"/>
              </w:rPr>
              <w:t>Identify aging, geographic, service-category, and throughput patterns.</w:t>
            </w:r>
          </w:p>
        </w:tc>
        <w:tc>
          <w:tcPr>
            <w:tcW w:type="dxa" w:w="3240"/>
            <w:tcMar>
              <w:top w:w="90" w:type="dxa"/>
              <w:start w:w="100" w:type="dxa"/>
              <w:bottom w:w="90" w:type="dxa"/>
              <w:end w:w="100" w:type="dxa"/>
            </w:tcMar>
            <w:vAlign w:val="top"/>
          </w:tcPr>
          <w:p>
            <w:r>
              <w:rPr>
                <w:sz w:val="17"/>
              </w:rPr>
              <w:t>90+ day backlog, district/service-type drivers, requests vs dispositions, net flow.</w:t>
            </w:r>
          </w:p>
        </w:tc>
        <w:tc>
          <w:tcPr>
            <w:tcW w:type="dxa" w:w="1944"/>
            <w:tcMar>
              <w:top w:w="90" w:type="dxa"/>
              <w:start w:w="100" w:type="dxa"/>
              <w:bottom w:w="90" w:type="dxa"/>
              <w:end w:w="100" w:type="dxa"/>
            </w:tcMar>
            <w:vAlign w:val="top"/>
            <w:shd w:fill="EAF4E3"/>
          </w:tcPr>
          <w:p>
            <w:r>
              <w:rPr>
                <w:sz w:val="17"/>
              </w:rPr>
              <w:t>Demonstrated</w:t>
            </w:r>
          </w:p>
        </w:tc>
      </w:tr>
      <w:tr>
        <w:tc>
          <w:tcPr>
            <w:tcW w:type="dxa" w:w="1728"/>
            <w:tcMar>
              <w:top w:w="90" w:type="dxa"/>
              <w:start w:w="100" w:type="dxa"/>
              <w:bottom w:w="90" w:type="dxa"/>
              <w:end w:w="100" w:type="dxa"/>
            </w:tcMar>
            <w:vAlign w:val="top"/>
          </w:tcPr>
          <w:p>
            <w:r>
              <w:rPr>
                <w:sz w:val="17"/>
              </w:rPr>
              <w:t>BO-3</w:t>
            </w:r>
          </w:p>
        </w:tc>
        <w:tc>
          <w:tcPr>
            <w:tcW w:type="dxa" w:w="3240"/>
            <w:tcMar>
              <w:top w:w="90" w:type="dxa"/>
              <w:start w:w="100" w:type="dxa"/>
              <w:bottom w:w="90" w:type="dxa"/>
              <w:end w:w="100" w:type="dxa"/>
            </w:tcMar>
            <w:vAlign w:val="top"/>
          </w:tcPr>
          <w:p>
            <w:r>
              <w:rPr>
                <w:sz w:val="17"/>
              </w:rPr>
              <w:t>Translate information needs into traceable requirements and validation scenarios.</w:t>
            </w:r>
          </w:p>
        </w:tc>
        <w:tc>
          <w:tcPr>
            <w:tcW w:type="dxa" w:w="3240"/>
            <w:tcMar>
              <w:top w:w="90" w:type="dxa"/>
              <w:start w:w="100" w:type="dxa"/>
              <w:bottom w:w="90" w:type="dxa"/>
              <w:end w:w="100" w:type="dxa"/>
            </w:tcMar>
            <w:vAlign w:val="top"/>
          </w:tcPr>
          <w:p>
            <w:r>
              <w:rPr>
                <w:sz w:val="17"/>
              </w:rPr>
              <w:t>Requirements Catalog, User Stories, RTM, and UAT Plan.</w:t>
            </w:r>
          </w:p>
        </w:tc>
        <w:tc>
          <w:tcPr>
            <w:tcW w:type="dxa" w:w="1944"/>
            <w:tcMar>
              <w:top w:w="90" w:type="dxa"/>
              <w:start w:w="100" w:type="dxa"/>
              <w:bottom w:w="90" w:type="dxa"/>
              <w:end w:w="100" w:type="dxa"/>
            </w:tcMar>
            <w:vAlign w:val="top"/>
            <w:shd w:fill="FFF2CC"/>
          </w:tcPr>
          <w:p>
            <w:r>
              <w:rPr>
                <w:sz w:val="17"/>
              </w:rPr>
              <w:t>Documented</w:t>
            </w:r>
          </w:p>
        </w:tc>
      </w:tr>
      <w:tr>
        <w:tc>
          <w:tcPr>
            <w:tcW w:type="dxa" w:w="1728"/>
            <w:tcMar>
              <w:top w:w="90" w:type="dxa"/>
              <w:start w:w="100" w:type="dxa"/>
              <w:bottom w:w="90" w:type="dxa"/>
              <w:end w:w="100" w:type="dxa"/>
            </w:tcMar>
            <w:vAlign w:val="top"/>
          </w:tcPr>
          <w:p>
            <w:r>
              <w:rPr>
                <w:sz w:val="17"/>
              </w:rPr>
              <w:t>BO-4</w:t>
            </w:r>
          </w:p>
        </w:tc>
        <w:tc>
          <w:tcPr>
            <w:tcW w:type="dxa" w:w="3240"/>
            <w:tcMar>
              <w:top w:w="90" w:type="dxa"/>
              <w:start w:w="100" w:type="dxa"/>
              <w:bottom w:w="90" w:type="dxa"/>
              <w:end w:w="100" w:type="dxa"/>
            </w:tcMar>
            <w:vAlign w:val="top"/>
          </w:tcPr>
          <w:p>
            <w:r>
              <w:rPr>
                <w:sz w:val="17"/>
              </w:rPr>
              <w:t>Demonstrate transparent BA methodology using public data without overstating access.</w:t>
            </w:r>
          </w:p>
        </w:tc>
        <w:tc>
          <w:tcPr>
            <w:tcW w:type="dxa" w:w="3240"/>
            <w:tcMar>
              <w:top w:w="90" w:type="dxa"/>
              <w:start w:w="100" w:type="dxa"/>
              <w:bottom w:w="90" w:type="dxa"/>
              <w:end w:w="100" w:type="dxa"/>
            </w:tcMar>
            <w:vAlign w:val="top"/>
          </w:tcPr>
          <w:p>
            <w:r>
              <w:rPr>
                <w:sz w:val="17"/>
              </w:rPr>
              <w:t>Disclosures, decision/assumption log, source register, planned UAT status.</w:t>
            </w:r>
          </w:p>
        </w:tc>
        <w:tc>
          <w:tcPr>
            <w:tcW w:type="dxa" w:w="1944"/>
            <w:tcMar>
              <w:top w:w="90" w:type="dxa"/>
              <w:start w:w="100" w:type="dxa"/>
              <w:bottom w:w="90" w:type="dxa"/>
              <w:end w:w="100" w:type="dxa"/>
            </w:tcMar>
            <w:vAlign w:val="top"/>
            <w:shd w:fill="EAF4E3"/>
          </w:tcPr>
          <w:p>
            <w:r>
              <w:rPr>
                <w:sz w:val="17"/>
              </w:rPr>
              <w:t>Demonstrated</w:t>
            </w:r>
          </w:p>
        </w:tc>
      </w:tr>
    </w:tbl>
    <w:p>
      <w:r>
        <w:t>Important distinction: this table evaluates portfolio coverage. It is not a substitute for formal UAT or stakeholder acceptance. Artifact 08 intentionally keeps all UAT cases in Planned status until execution can be independently evidenced.</w:t>
      </w:r>
    </w:p>
    <w:p>
      <w:pPr>
        <w:pStyle w:val="Heading1"/>
      </w:pPr>
      <w:r>
        <w:t>3. Key Analytical Findings</w:t>
      </w:r>
    </w:p>
    <w:p>
      <w:r>
        <w:t>The following findings were produced in the original Power BI analytics project and are carried forward here as solution-evaluation evidence:</w:t>
      </w:r>
    </w:p>
    <w:p>
      <w:pPr>
        <w:pStyle w:val="ListBullet"/>
        <w:spacing w:after="60"/>
      </w:pPr>
      <w:r>
        <w:t>Approximately 75% of the open backlog was at least 90 days old in the analyzed snapshot, indicating that aging was a material feature of the open-request population.</w:t>
      </w:r>
    </w:p>
    <w:p>
      <w:pPr>
        <w:pStyle w:val="ListBullet"/>
        <w:spacing w:after="60"/>
      </w:pPr>
      <w:r>
        <w:t>Council District 3 had the largest open backlog in the analysis, at approximately 19,200 requests.</w:t>
      </w:r>
    </w:p>
    <w:p>
      <w:pPr>
        <w:pStyle w:val="ListBullet"/>
        <w:spacing w:after="60"/>
      </w:pPr>
      <w:r>
        <w:t>Sidewalk Repair Issues and Streetlight Maintenance were the two leading backlog drivers, with Homeless Outreach / Encampment also among the larger categories.</w:t>
      </w:r>
    </w:p>
    <w:p>
      <w:pPr>
        <w:pStyle w:val="ListBullet"/>
        <w:spacing w:after="60"/>
      </w:pPr>
      <w:r>
        <w:t>The monthly throughput view showed an April period in which dispositions exceeded requests, creating a useful comparison point for further operational investigation.</w:t>
      </w:r>
    </w:p>
    <w:p>
      <w:pPr>
        <w:pStyle w:val="ListBullet"/>
        <w:spacing w:after="60"/>
      </w:pPr>
      <w:r>
        <w:t>The consolidated model allowed these signals to be viewed together rather than as isolated counts, supporting a more decision-oriented operational story.</w:t>
      </w:r>
    </w:p>
    <w:p>
      <w:pPr>
        <w:spacing w:before="80" w:after="120"/>
      </w:pPr>
      <w:r>
        <w:rPr>
          <w:b/>
          <w:color w:val="17365D"/>
        </w:rPr>
        <w:t xml:space="preserve">Interpretation boundary. </w:t>
      </w:r>
      <w:r>
        <w:t>These findings describe patterns in the public data and analytical model. They do not, by themselves, establish staffing shortages, budget constraints, process defects, service-level breaches, or any other causal explanation.</w:t>
      </w:r>
    </w:p>
    <w:p>
      <w:pPr>
        <w:pStyle w:val="Heading1"/>
      </w:pPr>
      <w:r>
        <w:t>4. Recommendations</w:t>
      </w:r>
    </w:p>
    <w:p>
      <w:pPr>
        <w:spacing w:after="40"/>
      </w:pPr>
      <w:r>
        <w:rPr>
          <w:b/>
          <w:color w:val="17365D"/>
        </w:rPr>
        <w:t>Prioritize a District 3 operational review.</w:t>
      </w:r>
    </w:p>
    <w:p>
      <w:pPr>
        <w:spacing w:after="120"/>
        <w:ind w:left="259"/>
      </w:pPr>
      <w:r>
        <w:t>Use the district concentration as a signal for follow-up, then compare service mix, population, infrastructure characteristics, and department ownership before deciding whether the difference represents an actionable performance issue.</w:t>
      </w:r>
    </w:p>
    <w:p>
      <w:pPr>
        <w:spacing w:after="40"/>
      </w:pPr>
      <w:r>
        <w:rPr>
          <w:b/>
          <w:color w:val="17365D"/>
        </w:rPr>
        <w:t>Investigate aging by service type rather than treating all 90+ day requests equally.</w:t>
      </w:r>
    </w:p>
    <w:p>
      <w:pPr>
        <w:spacing w:after="120"/>
        <w:ind w:left="259"/>
      </w:pPr>
      <w:r>
        <w:t>Different services may have different normal completion cycles. Segment aging by category, status, and available ownership fields before establishing operational targets.</w:t>
      </w:r>
    </w:p>
    <w:p>
      <w:pPr>
        <w:spacing w:after="40"/>
      </w:pPr>
      <w:r>
        <w:rPr>
          <w:b/>
          <w:color w:val="17365D"/>
        </w:rPr>
        <w:t>Deep-dive Sidewalk Repair and Streetlight Maintenance before shifting resources.</w:t>
      </w:r>
    </w:p>
    <w:p>
      <w:pPr>
        <w:spacing w:after="120"/>
        <w:ind w:left="259"/>
      </w:pPr>
      <w:r>
        <w:t>These categories were major backlog contributors, but the public data does not explain why. A real engagement should examine queue structure, work-order aging, dependencies, repeat reports, staffing, materials, and scheduled maintenance.</w:t>
      </w:r>
    </w:p>
    <w:p>
      <w:pPr>
        <w:spacing w:after="40"/>
      </w:pPr>
      <w:r>
        <w:rPr>
          <w:b/>
          <w:color w:val="17365D"/>
        </w:rPr>
        <w:t>Study the April throughput pattern for repeatable practices.</w:t>
      </w:r>
    </w:p>
    <w:p>
      <w:pPr>
        <w:spacing w:after="120"/>
        <w:ind w:left="259"/>
      </w:pPr>
      <w:r>
        <w:t>Because dispositions exceeded requests during the observed April period, compare that month with surrounding months to identify whether service mix, seasonal conditions, campaigns, staffing, bulk closures, or other factors explain the difference.</w:t>
      </w:r>
    </w:p>
    <w:p>
      <w:pPr>
        <w:spacing w:after="40"/>
      </w:pPr>
      <w:r>
        <w:rPr>
          <w:b/>
          <w:color w:val="17365D"/>
        </w:rPr>
        <w:t>Define metric governance with stakeholders.</w:t>
      </w:r>
    </w:p>
    <w:p>
      <w:pPr>
        <w:spacing w:after="120"/>
        <w:ind w:left="259"/>
      </w:pPr>
      <w:r>
        <w:t>Validate the meaning of backlog, disposition, aging, and any future service-level threshold by service category. Document approved definitions so future reporting is consistent.</w:t>
      </w:r>
    </w:p>
    <w:p>
      <w:pPr>
        <w:spacing w:after="40"/>
      </w:pPr>
      <w:r>
        <w:rPr>
          <w:b/>
          <w:color w:val="17365D"/>
        </w:rPr>
        <w:t>Execute the planned UAT with representative users if this were a real implementation.</w:t>
      </w:r>
    </w:p>
    <w:p>
      <w:pPr>
        <w:spacing w:after="120"/>
        <w:ind w:left="259"/>
      </w:pPr>
      <w:r>
        <w:t>Use Artifact 08 to confirm that the report supports business decisions, not merely that calculations render correctly. Record evidence, defects, retests, and acceptance decisions.</w:t>
      </w:r>
    </w:p>
    <w:p>
      <w:pPr>
        <w:pStyle w:val="Heading1"/>
      </w:pPr>
      <w:r>
        <w:t>5. Risks and Limitations</w:t>
      </w:r>
    </w:p>
    <w:p>
      <w:pPr>
        <w:pStyle w:val="ListBullet"/>
        <w:spacing w:after="60"/>
      </w:pPr>
      <w:r>
        <w:t>The public Open Data dataset does not contain the full details of how the City addressed each report, limiting root-cause analysis of internal operations.</w:t>
      </w:r>
    </w:p>
    <w:p>
      <w:pPr>
        <w:pStyle w:val="ListBullet"/>
        <w:spacing w:after="60"/>
      </w:pPr>
      <w:r>
        <w:t>No City stakeholder interviews, workshops, observations, or approvals were performed for this portfolio case study.</w:t>
      </w:r>
    </w:p>
    <w:p>
      <w:pPr>
        <w:pStyle w:val="ListBullet"/>
        <w:spacing w:after="60"/>
      </w:pPr>
      <w:r>
        <w:t>The 90-day threshold is a project-specific monitoring cut and is not presented as an official City service-level requirement.</w:t>
      </w:r>
    </w:p>
    <w:p>
      <w:pPr>
        <w:pStyle w:val="ListBullet"/>
        <w:spacing w:after="60"/>
      </w:pPr>
      <w:r>
        <w:t>The BA documentation is retrospective: requirements are reconstructed around an already completed analytical solution rather than captured before implementation.</w:t>
      </w:r>
    </w:p>
    <w:p>
      <w:pPr>
        <w:pStyle w:val="ListBullet"/>
        <w:spacing w:after="60"/>
      </w:pPr>
      <w:r>
        <w:t>Results are dependent on the available public-data snapshot, data definitions, and transformation logic used in the original project.</w:t>
      </w:r>
    </w:p>
    <w:p>
      <w:pPr>
        <w:pStyle w:val="Heading1"/>
      </w:pPr>
      <w:r>
        <w:t>6. Recommended Next BA Activities</w:t>
      </w:r>
    </w:p>
    <w:p>
      <w:pPr>
        <w:pStyle w:val="ListNumber"/>
        <w:spacing w:after="80"/>
      </w:pPr>
      <w:r>
        <w:t>Validate stakeholder groups and decision rights through stakeholder identification and interviews.</w:t>
      </w:r>
    </w:p>
    <w:p>
      <w:pPr>
        <w:pStyle w:val="ListNumber"/>
        <w:spacing w:after="80"/>
      </w:pPr>
      <w:r>
        <w:t>Run requirements workshops to confirm definitions, priorities, and service-type-specific needs.</w:t>
      </w:r>
    </w:p>
    <w:p>
      <w:pPr>
        <w:pStyle w:val="ListNumber"/>
        <w:spacing w:after="80"/>
      </w:pPr>
      <w:r>
        <w:t>Validate the As-Is process with process owners and replace simplified assumptions with observed workflow detail.</w:t>
      </w:r>
    </w:p>
    <w:p>
      <w:pPr>
        <w:pStyle w:val="ListNumber"/>
        <w:spacing w:after="80"/>
      </w:pPr>
      <w:r>
        <w:t>Execute UAT scenarios and log evidence, defects, retests, and acceptance decisions.</w:t>
      </w:r>
    </w:p>
    <w:p>
      <w:pPr>
        <w:pStyle w:val="ListNumber"/>
        <w:spacing w:after="80"/>
      </w:pPr>
      <w:r>
        <w:t>Create an implementation/change plan only after validated requirements and operational ownership are known.</w:t>
      </w:r>
    </w:p>
    <w:p>
      <w:pPr>
        <w:pStyle w:val="Heading1"/>
      </w:pPr>
      <w:r>
        <w:t>7. Public Sources Used for Context</w:t>
      </w:r>
    </w:p>
    <w:p>
      <w:pPr>
        <w:spacing w:after="60"/>
      </w:pPr>
      <w:r>
        <w:rPr>
          <w:b/>
        </w:rPr>
        <w:t xml:space="preserve">City of San Diego — Get It Done: </w:t>
      </w:r>
      <w:hyperlink r:id="rId11">
        <w:r>
          <w:rPr>
            <w:color w:val="0563C1"/>
            <w:u w:val="single"/>
          </w:rPr>
          <w:t>https://www.sandiego.gov/get-it-done</w:t>
        </w:r>
      </w:hyperlink>
    </w:p>
    <w:p>
      <w:pPr>
        <w:spacing w:after="60"/>
      </w:pPr>
      <w:r>
        <w:rPr>
          <w:b/>
        </w:rPr>
        <w:t xml:space="preserve">Get It Done FAQ — Performance &amp; Analytics: </w:t>
      </w:r>
      <w:hyperlink r:id="rId12">
        <w:r>
          <w:rPr>
            <w:color w:val="0563C1"/>
            <w:u w:val="single"/>
          </w:rPr>
          <w:t>https://getitdone.sandiego.gov/TSWCommunityFAQ</w:t>
        </w:r>
      </w:hyperlink>
    </w:p>
    <w:p>
      <w:pPr>
        <w:spacing w:after="60"/>
      </w:pPr>
      <w:r>
        <w:rPr>
          <w:b/>
        </w:rPr>
        <w:t xml:space="preserve">City of San Diego Open Data — Get It Done Reports: </w:t>
      </w:r>
      <w:hyperlink r:id="rId13">
        <w:r>
          <w:rPr>
            <w:color w:val="0563C1"/>
            <w:u w:val="single"/>
          </w:rPr>
          <w:t>https://data.sandiego.gov/datasets/get-it-done-reports/</w:t>
        </w:r>
      </w:hyperlink>
    </w:p>
    <w:p>
      <w:pPr>
        <w:spacing w:after="60"/>
      </w:pPr>
      <w:r>
        <w:rPr>
          <w:b/>
        </w:rPr>
        <w:t xml:space="preserve">Get It Done Guidelines: </w:t>
      </w:r>
      <w:hyperlink r:id="rId14">
        <w:r>
          <w:rPr>
            <w:color w:val="0563C1"/>
            <w:u w:val="single"/>
          </w:rPr>
          <w:t>https://www.sandiego.gov/sites/default/files/get-it-done-guidelines.pdf</w:t>
        </w:r>
      </w:hyperlink>
    </w:p>
    <w:p>
      <w:pPr>
        <w:pStyle w:val="Heading1"/>
      </w:pPr>
      <w:r>
        <w:t>Document Control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90" w:type="dxa"/>
              <w:start w:w="100" w:type="dxa"/>
              <w:bottom w:w="90" w:type="dxa"/>
              <w:end w:w="100" w:type="dxa"/>
            </w:tcMar>
            <w:shd w:fill="EAF1F8"/>
          </w:tcPr>
          <w:p>
            <w:r>
              <w:rPr>
                <w:b/>
                <w:color w:val="17365D"/>
              </w:rPr>
              <w:t>Document</w:t>
            </w:r>
          </w:p>
        </w:tc>
        <w:tc>
          <w:tcPr>
            <w:tcW w:type="dxa" w:w="2541"/>
            <w:tcMar>
              <w:top w:w="90" w:type="dxa"/>
              <w:start w:w="100" w:type="dxa"/>
              <w:bottom w:w="90" w:type="dxa"/>
              <w:end w:w="100" w:type="dxa"/>
            </w:tcMar>
          </w:tcPr>
          <w:p>
            <w:r>
              <w:rPr>
                <w:sz w:val="17"/>
              </w:rPr>
              <w:t>Solution Evaluation &amp; Recommendations</w:t>
            </w:r>
          </w:p>
        </w:tc>
        <w:tc>
          <w:tcPr>
            <w:tcW w:type="dxa" w:w="2541"/>
            <w:tcMar>
              <w:top w:w="90" w:type="dxa"/>
              <w:start w:w="100" w:type="dxa"/>
              <w:bottom w:w="90" w:type="dxa"/>
              <w:end w:w="100" w:type="dxa"/>
            </w:tcMar>
            <w:shd w:fill="EAF1F8"/>
          </w:tcPr>
          <w:p>
            <w:r>
              <w:rPr>
                <w:b/>
                <w:color w:val="17365D"/>
              </w:rPr>
              <w:t>Status</w:t>
            </w:r>
          </w:p>
        </w:tc>
        <w:tc>
          <w:tcPr>
            <w:tcW w:type="dxa" w:w="2541"/>
            <w:tcMar>
              <w:top w:w="90" w:type="dxa"/>
              <w:start w:w="100" w:type="dxa"/>
              <w:bottom w:w="90" w:type="dxa"/>
              <w:end w:w="100" w:type="dxa"/>
            </w:tcMar>
          </w:tcPr>
          <w:p>
            <w:r>
              <w:rPr>
                <w:sz w:val="17"/>
              </w:rPr>
              <w:t>Draft v1.0</w:t>
            </w:r>
          </w:p>
        </w:tc>
      </w:tr>
      <w:tr>
        <w:tc>
          <w:tcPr>
            <w:tcW w:type="dxa" w:w="2541"/>
            <w:tcMar>
              <w:top w:w="90" w:type="dxa"/>
              <w:start w:w="100" w:type="dxa"/>
              <w:bottom w:w="90" w:type="dxa"/>
              <w:end w:w="100" w:type="dxa"/>
            </w:tcMar>
            <w:shd w:fill="EAF1F8"/>
          </w:tcPr>
          <w:p>
            <w:r>
              <w:rPr>
                <w:b/>
                <w:color w:val="17365D"/>
              </w:rPr>
              <w:t>Project</w:t>
            </w:r>
          </w:p>
        </w:tc>
        <w:tc>
          <w:tcPr>
            <w:tcW w:type="dxa" w:w="2541"/>
            <w:tcMar>
              <w:top w:w="90" w:type="dxa"/>
              <w:start w:w="100" w:type="dxa"/>
              <w:bottom w:w="90" w:type="dxa"/>
              <w:end w:w="100" w:type="dxa"/>
            </w:tcMar>
          </w:tcPr>
          <w:p>
            <w:r>
              <w:rPr>
                <w:sz w:val="17"/>
              </w:rPr>
              <w:t>San Diego Service Operations BA Case Study</w:t>
            </w:r>
          </w:p>
        </w:tc>
        <w:tc>
          <w:tcPr>
            <w:tcW w:type="dxa" w:w="2541"/>
            <w:tcMar>
              <w:top w:w="90" w:type="dxa"/>
              <w:start w:w="100" w:type="dxa"/>
              <w:bottom w:w="90" w:type="dxa"/>
              <w:end w:w="100" w:type="dxa"/>
            </w:tcMar>
            <w:shd w:fill="EAF1F8"/>
          </w:tcPr>
          <w:p>
            <w:r>
              <w:rPr>
                <w:b/>
                <w:color w:val="17365D"/>
              </w:rPr>
              <w:t>Artifact</w:t>
            </w:r>
          </w:p>
        </w:tc>
        <w:tc>
          <w:tcPr>
            <w:tcW w:type="dxa" w:w="2541"/>
            <w:tcMar>
              <w:top w:w="90" w:type="dxa"/>
              <w:start w:w="100" w:type="dxa"/>
              <w:bottom w:w="90" w:type="dxa"/>
              <w:end w:w="100" w:type="dxa"/>
            </w:tcMar>
          </w:tcPr>
          <w:p>
            <w:r>
              <w:rPr>
                <w:sz w:val="17"/>
              </w:rPr>
              <w:t>09</w:t>
            </w:r>
          </w:p>
        </w:tc>
      </w:tr>
      <w:tr>
        <w:tc>
          <w:tcPr>
            <w:tcW w:type="dxa" w:w="2541"/>
            <w:tcMar>
              <w:top w:w="90" w:type="dxa"/>
              <w:start w:w="100" w:type="dxa"/>
              <w:bottom w:w="90" w:type="dxa"/>
              <w:end w:w="100" w:type="dxa"/>
            </w:tcMar>
            <w:shd w:fill="EAF1F8"/>
          </w:tcPr>
          <w:p>
            <w:r>
              <w:rPr>
                <w:b/>
                <w:color w:val="17365D"/>
              </w:rPr>
              <w:t>Author</w:t>
            </w:r>
          </w:p>
        </w:tc>
        <w:tc>
          <w:tcPr>
            <w:tcW w:type="dxa" w:w="2541"/>
            <w:tcMar>
              <w:top w:w="90" w:type="dxa"/>
              <w:start w:w="100" w:type="dxa"/>
              <w:bottom w:w="90" w:type="dxa"/>
              <w:end w:w="100" w:type="dxa"/>
            </w:tcMar>
          </w:tcPr>
          <w:p>
            <w:r>
              <w:rPr>
                <w:sz w:val="17"/>
              </w:rPr>
              <w:t>Chase Brangham</w:t>
            </w:r>
          </w:p>
        </w:tc>
        <w:tc>
          <w:tcPr>
            <w:tcW w:type="dxa" w:w="2541"/>
            <w:tcMar>
              <w:top w:w="90" w:type="dxa"/>
              <w:start w:w="100" w:type="dxa"/>
              <w:bottom w:w="90" w:type="dxa"/>
              <w:end w:w="100" w:type="dxa"/>
            </w:tcMar>
            <w:shd w:fill="EAF1F8"/>
          </w:tcPr>
          <w:p>
            <w:r>
              <w:rPr>
                <w:b/>
                <w:color w:val="17365D"/>
              </w:rPr>
              <w:t>Date</w:t>
            </w:r>
          </w:p>
        </w:tc>
        <w:tc>
          <w:tcPr>
            <w:tcW w:type="dxa" w:w="2541"/>
            <w:tcMar>
              <w:top w:w="90" w:type="dxa"/>
              <w:start w:w="100" w:type="dxa"/>
              <w:bottom w:w="90" w:type="dxa"/>
              <w:end w:w="100" w:type="dxa"/>
            </w:tcMar>
          </w:tcPr>
          <w:p>
            <w:r>
              <w:rPr>
                <w:sz w:val="17"/>
              </w:rPr>
              <w:t>October 26, 2026</w:t>
            </w:r>
          </w:p>
        </w:tc>
      </w:tr>
    </w:tbl>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66273"/>
        <w:sz w:val="16"/>
      </w:rPr>
      <w:t>Portfolio case study | Artifact 09 | Chase Brangham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66273"/>
        <w:sz w:val="16"/>
      </w:rPr>
      <w:t>SAN DIEGO SERVICE OPERATIONS — BUSINESS ANALYSIS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andiego.gov/get-it-done" TargetMode="External"/><Relationship Id="rId12" Type="http://schemas.openxmlformats.org/officeDocument/2006/relationships/hyperlink" Target="https://getitdone.sandiego.gov/TSWCommunityFAQ" TargetMode="External"/><Relationship Id="rId13" Type="http://schemas.openxmlformats.org/officeDocument/2006/relationships/hyperlink" Target="https://data.sandiego.gov/datasets/get-it-done-reports/" TargetMode="External"/><Relationship Id="rId14" Type="http://schemas.openxmlformats.org/officeDocument/2006/relationships/hyperlink" Target="https://www.sandiego.gov/sites/default/files/get-it-done-guidelin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