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2F5597"/>
          <w:sz w:val="28"/>
        </w:rPr>
        <w:t>SAN DIEGO SERVICE OPERATIONS</w:t>
      </w:r>
    </w:p>
    <w:p>
      <w:pPr>
        <w:jc w:val="center"/>
      </w:pPr>
      <w:r>
        <w:rPr>
          <w:b/>
          <w:color w:val="666666"/>
          <w:sz w:val="22"/>
        </w:rPr>
        <w:t>ARTIFACT 18</w:t>
      </w:r>
    </w:p>
    <w:p>
      <w:pPr>
        <w:spacing w:before="200"/>
        <w:jc w:val="center"/>
      </w:pPr>
      <w:r>
        <w:rPr>
          <w:b/>
          <w:color w:val="17365D"/>
          <w:sz w:val="54"/>
        </w:rPr>
        <w:t>Implementation &amp; Change Considerations</w:t>
      </w:r>
    </w:p>
    <w:p>
      <w:pPr>
        <w:jc w:val="center"/>
      </w:pPr>
      <w:r>
        <w:rPr>
          <w:color w:val="666666"/>
          <w:sz w:val="24"/>
        </w:rPr>
        <w:t>Proposed adoption, ownership, governance, and handoff plan</w:t>
      </w:r>
    </w:p>
    <w:tbl>
      <w:tblPr>
        <w:tblW w:type="auto" w:w="0"/>
        <w:jc w:val="center"/>
        <w:tblLayout w:type="fixed"/>
        <w:tblLook w:firstColumn="1" w:firstRow="1" w:lastColumn="0" w:lastRow="0" w:noHBand="0" w:noVBand="1" w:val="04A0"/>
      </w:tblPr>
      <w:tblGrid>
        <w:gridCol w:w="9648"/>
      </w:tblGrid>
      <w:tr>
        <w:tc>
          <w:tcPr>
            <w:tcW w:type="dxa" w:w="10224"/>
            <w:shd w:fill="F3F6FA"/>
            <w:tcMar>
              <w:top w:w="140" w:type="dxa"/>
              <w:start w:w="180" w:type="dxa"/>
              <w:bottom w:w="140" w:type="dxa"/>
              <w:end w:w="180" w:type="dxa"/>
            </w:tcMar>
          </w:tcPr>
          <w:p>
            <w:pPr>
              <w:jc w:val="center"/>
            </w:pPr>
            <w:r>
              <w:rPr>
                <w:b/>
                <w:color w:val="17365D"/>
              </w:rPr>
              <w:t xml:space="preserve">Portfolio disclosure. </w:t>
            </w:r>
            <w:r>
              <w:t>This is a simulated business-analysis engagement built from public City of San Diego Get It Done data and a completed Power BI analytics project. It does not represent City employment, internal-system access, stakeholder interviews, approved requirements, or formal City acceptance.</w:t>
            </w:r>
          </w:p>
        </w:tc>
      </w:tr>
    </w:tbl>
    <w:p/>
    <w:p>
      <w:pPr>
        <w:jc w:val="center"/>
      </w:pPr>
      <w:r>
        <w:rPr>
          <w:b/>
        </w:rPr>
        <w:t>Prepared by Chase Brangham</w:t>
        <w:br/>
      </w:r>
      <w:r>
        <w:t>October 27, 2026</w:t>
      </w:r>
    </w:p>
    <w:p>
      <w:r>
        <w:br w:type="page"/>
      </w:r>
    </w:p>
    <w:tbl>
      <w:tblPr>
        <w:tblW w:type="auto" w:w="0"/>
        <w:tblLayout w:type="fixed"/>
        <w:tblLook w:firstColumn="1" w:firstRow="1" w:lastColumn="0" w:lastRow="0" w:noHBand="0" w:noVBand="1" w:val="04A0"/>
      </w:tblPr>
      <w:tblGrid>
        <w:gridCol w:w="10080"/>
      </w:tblGrid>
      <w:tr>
        <w:tc>
          <w:tcPr>
            <w:tcW w:type="dxa" w:w="10224"/>
            <w:shd w:fill="17365D"/>
            <w:tcMar>
              <w:top w:w="90" w:type="dxa"/>
              <w:start w:w="140" w:type="dxa"/>
              <w:bottom w:w="90" w:type="dxa"/>
              <w:end w:w="140" w:type="dxa"/>
            </w:tcMar>
          </w:tcPr>
          <w:p>
            <w:r>
              <w:rPr>
                <w:b/>
                <w:color w:val="FFFFFF"/>
                <w:sz w:val="24"/>
              </w:rPr>
              <w:t>1. Purpose</w:t>
            </w:r>
          </w:p>
        </w:tc>
      </w:tr>
    </w:tbl>
    <w:p>
      <w:pPr>
        <w:spacing w:after="0"/>
      </w:pPr>
    </w:p>
    <w:p>
      <w:r>
        <w:t>This artifact describes how the analytical solution could move from a portfolio prototype into a governed operational reporting capability. It is a proposed implementation model, not a description of City of San Diego production practice.</w:t>
      </w:r>
    </w:p>
    <w:tbl>
      <w:tblPr>
        <w:tblW w:type="auto" w:w="0"/>
        <w:tblLayout w:type="fixed"/>
        <w:tblLook w:firstColumn="1" w:firstRow="1" w:lastColumn="0" w:lastRow="0" w:noHBand="0" w:noVBand="1" w:val="04A0"/>
      </w:tblPr>
      <w:tblGrid>
        <w:gridCol w:w="10080"/>
      </w:tblGrid>
      <w:tr>
        <w:tc>
          <w:tcPr>
            <w:tcW w:type="dxa" w:w="10224"/>
            <w:shd w:fill="17365D"/>
            <w:tcMar>
              <w:top w:w="90" w:type="dxa"/>
              <w:start w:w="140" w:type="dxa"/>
              <w:bottom w:w="90" w:type="dxa"/>
              <w:end w:w="140" w:type="dxa"/>
            </w:tcMar>
          </w:tcPr>
          <w:p>
            <w:r>
              <w:rPr>
                <w:b/>
                <w:color w:val="FFFFFF"/>
                <w:sz w:val="24"/>
              </w:rPr>
              <w:t>2. Proposed Ownership Model</w:t>
            </w:r>
          </w:p>
        </w:tc>
      </w:tr>
    </w:tbl>
    <w:p>
      <w:pPr>
        <w:spacing w:after="0"/>
      </w:pPr>
    </w:p>
    <w:tbl>
      <w:tblPr>
        <w:tblStyle w:val="TableGrid"/>
        <w:tblW w:type="auto" w:w="0"/>
        <w:jc w:val="center"/>
        <w:tblLook w:firstColumn="1" w:firstRow="1" w:lastColumn="0" w:lastRow="0" w:noHBand="0" w:noVBand="1" w:val="04A0"/>
      </w:tblPr>
      <w:tblGrid>
        <w:gridCol w:w="5112"/>
        <w:gridCol w:w="5112"/>
      </w:tblGrid>
      <w:tr>
        <w:tc>
          <w:tcPr>
            <w:tcW w:type="dxa" w:w="2880"/>
            <w:shd w:fill="2F5597"/>
          </w:tcPr>
          <w:p>
            <w:pPr>
              <w:jc w:val="center"/>
            </w:pPr>
            <w:r>
              <w:rPr>
                <w:b/>
                <w:color w:val="FFFFFF"/>
                <w:sz w:val="16"/>
              </w:rPr>
              <w:t>Role</w:t>
            </w:r>
          </w:p>
        </w:tc>
        <w:tc>
          <w:tcPr>
            <w:tcW w:type="dxa" w:w="7200"/>
            <w:shd w:fill="2F5597"/>
          </w:tcPr>
          <w:p>
            <w:pPr>
              <w:jc w:val="center"/>
            </w:pPr>
            <w:r>
              <w:rPr>
                <w:b/>
                <w:color w:val="FFFFFF"/>
                <w:sz w:val="16"/>
              </w:rPr>
              <w:t>Proposed Responsibility</w:t>
            </w:r>
          </w:p>
        </w:tc>
      </w:tr>
      <w:tr>
        <w:tc>
          <w:tcPr>
            <w:tcW w:type="dxa" w:w="2880"/>
            <w:vAlign w:val="top"/>
            <w:tcMar>
              <w:top w:w="80" w:type="dxa"/>
              <w:start w:w="100" w:type="dxa"/>
              <w:bottom w:w="80" w:type="dxa"/>
              <w:end w:w="100" w:type="dxa"/>
            </w:tcMar>
          </w:tcPr>
          <w:p>
            <w:r>
              <w:rPr>
                <w:sz w:val="16"/>
              </w:rPr>
              <w:t>Business owner</w:t>
            </w:r>
          </w:p>
        </w:tc>
        <w:tc>
          <w:tcPr>
            <w:tcW w:type="dxa" w:w="7200"/>
            <w:vAlign w:val="top"/>
            <w:tcMar>
              <w:top w:w="80" w:type="dxa"/>
              <w:start w:w="100" w:type="dxa"/>
              <w:bottom w:w="80" w:type="dxa"/>
              <w:end w:w="100" w:type="dxa"/>
            </w:tcMar>
          </w:tcPr>
          <w:p>
            <w:r>
              <w:rPr>
                <w:sz w:val="16"/>
              </w:rPr>
              <w:t>Defines business purpose, approves metric meaning and decision use.</w:t>
            </w:r>
          </w:p>
        </w:tc>
      </w:tr>
      <w:tr>
        <w:tc>
          <w:tcPr>
            <w:tcW w:type="dxa" w:w="2880"/>
            <w:vAlign w:val="top"/>
            <w:tcMar>
              <w:top w:w="80" w:type="dxa"/>
              <w:start w:w="100" w:type="dxa"/>
              <w:bottom w:w="80" w:type="dxa"/>
              <w:end w:w="100" w:type="dxa"/>
            </w:tcMar>
          </w:tcPr>
          <w:p>
            <w:r>
              <w:rPr>
                <w:sz w:val="16"/>
              </w:rPr>
              <w:t>Product/report owner</w:t>
            </w:r>
          </w:p>
        </w:tc>
        <w:tc>
          <w:tcPr>
            <w:tcW w:type="dxa" w:w="7200"/>
            <w:vAlign w:val="top"/>
            <w:tcMar>
              <w:top w:w="80" w:type="dxa"/>
              <w:start w:w="100" w:type="dxa"/>
              <w:bottom w:w="80" w:type="dxa"/>
              <w:end w:w="100" w:type="dxa"/>
            </w:tcMar>
          </w:tcPr>
          <w:p>
            <w:r>
              <w:rPr>
                <w:sz w:val="16"/>
              </w:rPr>
              <w:t>Prioritizes enhancements and coordinates release decisions.</w:t>
            </w:r>
          </w:p>
        </w:tc>
      </w:tr>
      <w:tr>
        <w:tc>
          <w:tcPr>
            <w:tcW w:type="dxa" w:w="2880"/>
            <w:vAlign w:val="top"/>
            <w:tcMar>
              <w:top w:w="80" w:type="dxa"/>
              <w:start w:w="100" w:type="dxa"/>
              <w:bottom w:w="80" w:type="dxa"/>
              <w:end w:w="100" w:type="dxa"/>
            </w:tcMar>
          </w:tcPr>
          <w:p>
            <w:r>
              <w:rPr>
                <w:sz w:val="16"/>
              </w:rPr>
              <w:t>Business Analyst</w:t>
            </w:r>
          </w:p>
        </w:tc>
        <w:tc>
          <w:tcPr>
            <w:tcW w:type="dxa" w:w="7200"/>
            <w:vAlign w:val="top"/>
            <w:tcMar>
              <w:top w:w="80" w:type="dxa"/>
              <w:start w:w="100" w:type="dxa"/>
              <w:bottom w:w="80" w:type="dxa"/>
              <w:end w:w="100" w:type="dxa"/>
            </w:tcMar>
          </w:tcPr>
          <w:p>
            <w:r>
              <w:rPr>
                <w:sz w:val="16"/>
              </w:rPr>
              <w:t>Maintains requirements, definitions, traceability, change impact, and stakeholder alignment.</w:t>
            </w:r>
          </w:p>
        </w:tc>
      </w:tr>
      <w:tr>
        <w:tc>
          <w:tcPr>
            <w:tcW w:type="dxa" w:w="2880"/>
            <w:vAlign w:val="top"/>
            <w:tcMar>
              <w:top w:w="80" w:type="dxa"/>
              <w:start w:w="100" w:type="dxa"/>
              <w:bottom w:w="80" w:type="dxa"/>
              <w:end w:w="100" w:type="dxa"/>
            </w:tcMar>
          </w:tcPr>
          <w:p>
            <w:r>
              <w:rPr>
                <w:sz w:val="16"/>
              </w:rPr>
              <w:t>Data/BI developer</w:t>
            </w:r>
          </w:p>
        </w:tc>
        <w:tc>
          <w:tcPr>
            <w:tcW w:type="dxa" w:w="7200"/>
            <w:vAlign w:val="top"/>
            <w:tcMar>
              <w:top w:w="80" w:type="dxa"/>
              <w:start w:w="100" w:type="dxa"/>
              <w:bottom w:w="80" w:type="dxa"/>
              <w:end w:w="100" w:type="dxa"/>
            </w:tcMar>
          </w:tcPr>
          <w:p>
            <w:r>
              <w:rPr>
                <w:sz w:val="16"/>
              </w:rPr>
              <w:t>Maintains Power Query, model, DAX, report visuals, and technical refresh.</w:t>
            </w:r>
          </w:p>
        </w:tc>
      </w:tr>
      <w:tr>
        <w:tc>
          <w:tcPr>
            <w:tcW w:type="dxa" w:w="2880"/>
            <w:vAlign w:val="top"/>
            <w:tcMar>
              <w:top w:w="80" w:type="dxa"/>
              <w:start w:w="100" w:type="dxa"/>
              <w:bottom w:w="80" w:type="dxa"/>
              <w:end w:w="100" w:type="dxa"/>
            </w:tcMar>
          </w:tcPr>
          <w:p>
            <w:r>
              <w:rPr>
                <w:sz w:val="16"/>
              </w:rPr>
              <w:t>Data owner/steward</w:t>
            </w:r>
          </w:p>
        </w:tc>
        <w:tc>
          <w:tcPr>
            <w:tcW w:type="dxa" w:w="7200"/>
            <w:vAlign w:val="top"/>
            <w:tcMar>
              <w:top w:w="80" w:type="dxa"/>
              <w:start w:w="100" w:type="dxa"/>
              <w:bottom w:w="80" w:type="dxa"/>
              <w:end w:w="100" w:type="dxa"/>
            </w:tcMar>
          </w:tcPr>
          <w:p>
            <w:r>
              <w:rPr>
                <w:sz w:val="16"/>
              </w:rPr>
              <w:t>Validates source semantics, quality rules, and approved field definitions.</w:t>
            </w:r>
          </w:p>
        </w:tc>
      </w:tr>
      <w:tr>
        <w:tc>
          <w:tcPr>
            <w:tcW w:type="dxa" w:w="2880"/>
            <w:vAlign w:val="top"/>
            <w:tcMar>
              <w:top w:w="80" w:type="dxa"/>
              <w:start w:w="100" w:type="dxa"/>
              <w:bottom w:w="80" w:type="dxa"/>
              <w:end w:w="100" w:type="dxa"/>
            </w:tcMar>
          </w:tcPr>
          <w:p>
            <w:r>
              <w:rPr>
                <w:sz w:val="16"/>
              </w:rPr>
              <w:t>Operational SMEs</w:t>
            </w:r>
          </w:p>
        </w:tc>
        <w:tc>
          <w:tcPr>
            <w:tcW w:type="dxa" w:w="7200"/>
            <w:vAlign w:val="top"/>
            <w:tcMar>
              <w:top w:w="80" w:type="dxa"/>
              <w:start w:w="100" w:type="dxa"/>
              <w:bottom w:w="80" w:type="dxa"/>
              <w:end w:w="100" w:type="dxa"/>
            </w:tcMar>
          </w:tcPr>
          <w:p>
            <w:r>
              <w:rPr>
                <w:sz w:val="16"/>
              </w:rPr>
              <w:t>Validate service-specific process, targets, and interpretation.</w:t>
            </w:r>
          </w:p>
        </w:tc>
      </w:tr>
      <w:tr>
        <w:tc>
          <w:tcPr>
            <w:tcW w:type="dxa" w:w="2880"/>
            <w:vAlign w:val="top"/>
            <w:tcMar>
              <w:top w:w="80" w:type="dxa"/>
              <w:start w:w="100" w:type="dxa"/>
              <w:bottom w:w="80" w:type="dxa"/>
              <w:end w:w="100" w:type="dxa"/>
            </w:tcMar>
          </w:tcPr>
          <w:p>
            <w:r>
              <w:rPr>
                <w:sz w:val="16"/>
              </w:rPr>
              <w:t>UAT representatives</w:t>
            </w:r>
          </w:p>
        </w:tc>
        <w:tc>
          <w:tcPr>
            <w:tcW w:type="dxa" w:w="7200"/>
            <w:vAlign w:val="top"/>
            <w:tcMar>
              <w:top w:w="80" w:type="dxa"/>
              <w:start w:w="100" w:type="dxa"/>
              <w:bottom w:w="80" w:type="dxa"/>
              <w:end w:w="100" w:type="dxa"/>
            </w:tcMar>
          </w:tcPr>
          <w:p>
            <w:r>
              <w:rPr>
                <w:sz w:val="16"/>
              </w:rPr>
              <w:t>Execute acceptance scenarios and document defects/acceptance.</w:t>
            </w:r>
          </w:p>
        </w:tc>
      </w:tr>
    </w:tbl>
    <w:tbl>
      <w:tblPr>
        <w:tblW w:type="auto" w:w="0"/>
        <w:tblLayout w:type="fixed"/>
        <w:tblLook w:firstColumn="1" w:firstRow="1" w:lastColumn="0" w:lastRow="0" w:noHBand="0" w:noVBand="1" w:val="04A0"/>
      </w:tblPr>
      <w:tblGrid>
        <w:gridCol w:w="10080"/>
      </w:tblGrid>
      <w:tr>
        <w:tc>
          <w:tcPr>
            <w:tcW w:type="dxa" w:w="10224"/>
            <w:shd w:fill="17365D"/>
            <w:tcMar>
              <w:top w:w="90" w:type="dxa"/>
              <w:start w:w="140" w:type="dxa"/>
              <w:bottom w:w="90" w:type="dxa"/>
              <w:end w:w="140" w:type="dxa"/>
            </w:tcMar>
          </w:tcPr>
          <w:p>
            <w:r>
              <w:rPr>
                <w:b/>
                <w:color w:val="FFFFFF"/>
                <w:sz w:val="24"/>
              </w:rPr>
              <w:t>3. Implementation Stages</w:t>
            </w:r>
          </w:p>
        </w:tc>
      </w:tr>
    </w:tbl>
    <w:p>
      <w:pPr>
        <w:spacing w:after="0"/>
      </w:pPr>
    </w:p>
    <w:tbl>
      <w:tblPr>
        <w:tblStyle w:val="TableGrid"/>
        <w:tblW w:type="auto" w:w="0"/>
        <w:jc w:val="center"/>
        <w:tblLook w:firstColumn="1" w:firstRow="1" w:lastColumn="0" w:lastRow="0" w:noHBand="0" w:noVBand="1" w:val="04A0"/>
      </w:tblPr>
      <w:tblGrid>
        <w:gridCol w:w="5112"/>
        <w:gridCol w:w="5112"/>
      </w:tblGrid>
      <w:tr>
        <w:tc>
          <w:tcPr>
            <w:tcW w:type="dxa" w:w="1728"/>
            <w:shd w:fill="2F5597"/>
          </w:tcPr>
          <w:p>
            <w:pPr>
              <w:jc w:val="center"/>
            </w:pPr>
            <w:r>
              <w:rPr>
                <w:b/>
                <w:color w:val="FFFFFF"/>
                <w:sz w:val="16"/>
              </w:rPr>
              <w:t>Stage</w:t>
            </w:r>
          </w:p>
        </w:tc>
        <w:tc>
          <w:tcPr>
            <w:tcW w:type="dxa" w:w="8352"/>
            <w:shd w:fill="2F5597"/>
          </w:tcPr>
          <w:p>
            <w:pPr>
              <w:jc w:val="center"/>
            </w:pPr>
            <w:r>
              <w:rPr>
                <w:b/>
                <w:color w:val="FFFFFF"/>
                <w:sz w:val="16"/>
              </w:rPr>
              <w:t>Activities</w:t>
            </w:r>
          </w:p>
        </w:tc>
      </w:tr>
      <w:tr>
        <w:tc>
          <w:tcPr>
            <w:tcW w:type="dxa" w:w="1728"/>
            <w:vAlign w:val="top"/>
            <w:tcMar>
              <w:top w:w="80" w:type="dxa"/>
              <w:start w:w="100" w:type="dxa"/>
              <w:bottom w:w="80" w:type="dxa"/>
              <w:end w:w="100" w:type="dxa"/>
            </w:tcMar>
          </w:tcPr>
          <w:p>
            <w:r>
              <w:rPr>
                <w:sz w:val="16"/>
              </w:rPr>
              <w:t>1. Validate</w:t>
            </w:r>
          </w:p>
        </w:tc>
        <w:tc>
          <w:tcPr>
            <w:tcW w:type="dxa" w:w="8352"/>
            <w:vAlign w:val="top"/>
            <w:tcMar>
              <w:top w:w="80" w:type="dxa"/>
              <w:start w:w="100" w:type="dxa"/>
              <w:bottom w:w="80" w:type="dxa"/>
              <w:end w:w="100" w:type="dxa"/>
            </w:tcMar>
          </w:tcPr>
          <w:p>
            <w:r>
              <w:rPr>
                <w:sz w:val="16"/>
              </w:rPr>
              <w:t>Confirm stakeholders, decisions, metric definitions, status rules, service-specific thresholds, and detailed process variants.</w:t>
            </w:r>
          </w:p>
        </w:tc>
      </w:tr>
      <w:tr>
        <w:tc>
          <w:tcPr>
            <w:tcW w:type="dxa" w:w="1728"/>
            <w:vAlign w:val="top"/>
            <w:tcMar>
              <w:top w:w="80" w:type="dxa"/>
              <w:start w:w="100" w:type="dxa"/>
              <w:bottom w:w="80" w:type="dxa"/>
              <w:end w:w="100" w:type="dxa"/>
            </w:tcMar>
          </w:tcPr>
          <w:p>
            <w:r>
              <w:rPr>
                <w:sz w:val="16"/>
              </w:rPr>
              <w:t>2. Baseline</w:t>
            </w:r>
          </w:p>
        </w:tc>
        <w:tc>
          <w:tcPr>
            <w:tcW w:type="dxa" w:w="8352"/>
            <w:vAlign w:val="top"/>
            <w:tcMar>
              <w:top w:w="80" w:type="dxa"/>
              <w:start w:w="100" w:type="dxa"/>
              <w:bottom w:w="80" w:type="dxa"/>
              <w:end w:w="100" w:type="dxa"/>
            </w:tcMar>
          </w:tcPr>
          <w:p>
            <w:r>
              <w:rPr>
                <w:sz w:val="16"/>
              </w:rPr>
              <w:t>Reconcile source row counts, source field definitions, refresh cadence, and current dashboard outputs.</w:t>
            </w:r>
          </w:p>
        </w:tc>
      </w:tr>
      <w:tr>
        <w:tc>
          <w:tcPr>
            <w:tcW w:type="dxa" w:w="1728"/>
            <w:vAlign w:val="top"/>
            <w:tcMar>
              <w:top w:w="80" w:type="dxa"/>
              <w:start w:w="100" w:type="dxa"/>
              <w:bottom w:w="80" w:type="dxa"/>
              <w:end w:w="100" w:type="dxa"/>
            </w:tcMar>
          </w:tcPr>
          <w:p>
            <w:r>
              <w:rPr>
                <w:sz w:val="16"/>
              </w:rPr>
              <w:t>3. Harden</w:t>
            </w:r>
          </w:p>
        </w:tc>
        <w:tc>
          <w:tcPr>
            <w:tcW w:type="dxa" w:w="8352"/>
            <w:vAlign w:val="top"/>
            <w:tcMar>
              <w:top w:w="80" w:type="dxa"/>
              <w:start w:w="100" w:type="dxa"/>
              <w:bottom w:w="80" w:type="dxa"/>
              <w:end w:w="100" w:type="dxa"/>
            </w:tcMar>
          </w:tcPr>
          <w:p>
            <w:r>
              <w:rPr>
                <w:sz w:val="16"/>
              </w:rPr>
              <w:t>Implement refresh QA, data-quality checks, versioned KPI definitions, source-to-measure documentation, and access controls.</w:t>
            </w:r>
          </w:p>
        </w:tc>
      </w:tr>
      <w:tr>
        <w:tc>
          <w:tcPr>
            <w:tcW w:type="dxa" w:w="1728"/>
            <w:vAlign w:val="top"/>
            <w:tcMar>
              <w:top w:w="80" w:type="dxa"/>
              <w:start w:w="100" w:type="dxa"/>
              <w:bottom w:w="80" w:type="dxa"/>
              <w:end w:w="100" w:type="dxa"/>
            </w:tcMar>
          </w:tcPr>
          <w:p>
            <w:r>
              <w:rPr>
                <w:sz w:val="16"/>
              </w:rPr>
              <w:t>4. Pilot</w:t>
            </w:r>
          </w:p>
        </w:tc>
        <w:tc>
          <w:tcPr>
            <w:tcW w:type="dxa" w:w="8352"/>
            <w:vAlign w:val="top"/>
            <w:tcMar>
              <w:top w:w="80" w:type="dxa"/>
              <w:start w:w="100" w:type="dxa"/>
              <w:bottom w:w="80" w:type="dxa"/>
              <w:end w:w="100" w:type="dxa"/>
            </w:tcMar>
          </w:tcPr>
          <w:p>
            <w:r>
              <w:rPr>
                <w:sz w:val="16"/>
              </w:rPr>
              <w:t>Release to a small representative user group; collect usability and interpretation feedback.</w:t>
            </w:r>
          </w:p>
        </w:tc>
      </w:tr>
      <w:tr>
        <w:tc>
          <w:tcPr>
            <w:tcW w:type="dxa" w:w="1728"/>
            <w:vAlign w:val="top"/>
            <w:tcMar>
              <w:top w:w="80" w:type="dxa"/>
              <w:start w:w="100" w:type="dxa"/>
              <w:bottom w:w="80" w:type="dxa"/>
              <w:end w:w="100" w:type="dxa"/>
            </w:tcMar>
          </w:tcPr>
          <w:p>
            <w:r>
              <w:rPr>
                <w:sz w:val="16"/>
              </w:rPr>
              <w:t>5. UAT</w:t>
            </w:r>
          </w:p>
        </w:tc>
        <w:tc>
          <w:tcPr>
            <w:tcW w:type="dxa" w:w="8352"/>
            <w:vAlign w:val="top"/>
            <w:tcMar>
              <w:top w:w="80" w:type="dxa"/>
              <w:start w:w="100" w:type="dxa"/>
              <w:bottom w:w="80" w:type="dxa"/>
              <w:end w:w="100" w:type="dxa"/>
            </w:tcMar>
          </w:tcPr>
          <w:p>
            <w:r>
              <w:rPr>
                <w:sz w:val="16"/>
              </w:rPr>
              <w:t>Execute approved test cases; log defects; retest; obtain business acceptance.</w:t>
            </w:r>
          </w:p>
        </w:tc>
      </w:tr>
      <w:tr>
        <w:tc>
          <w:tcPr>
            <w:tcW w:type="dxa" w:w="1728"/>
            <w:vAlign w:val="top"/>
            <w:tcMar>
              <w:top w:w="80" w:type="dxa"/>
              <w:start w:w="100" w:type="dxa"/>
              <w:bottom w:w="80" w:type="dxa"/>
              <w:end w:w="100" w:type="dxa"/>
            </w:tcMar>
          </w:tcPr>
          <w:p>
            <w:r>
              <w:rPr>
                <w:sz w:val="16"/>
              </w:rPr>
              <w:t>6. Deploy</w:t>
            </w:r>
          </w:p>
        </w:tc>
        <w:tc>
          <w:tcPr>
            <w:tcW w:type="dxa" w:w="8352"/>
            <w:vAlign w:val="top"/>
            <w:tcMar>
              <w:top w:w="80" w:type="dxa"/>
              <w:start w:w="100" w:type="dxa"/>
              <w:bottom w:w="80" w:type="dxa"/>
              <w:end w:w="100" w:type="dxa"/>
            </w:tcMar>
          </w:tcPr>
          <w:p>
            <w:r>
              <w:rPr>
                <w:sz w:val="16"/>
              </w:rPr>
              <w:t>Publish production report, owner/support contacts, refresh schedule, and change-request channel.</w:t>
            </w:r>
          </w:p>
        </w:tc>
      </w:tr>
      <w:tr>
        <w:tc>
          <w:tcPr>
            <w:tcW w:type="dxa" w:w="1728"/>
            <w:vAlign w:val="top"/>
            <w:tcMar>
              <w:top w:w="80" w:type="dxa"/>
              <w:start w:w="100" w:type="dxa"/>
              <w:bottom w:w="80" w:type="dxa"/>
              <w:end w:w="100" w:type="dxa"/>
            </w:tcMar>
          </w:tcPr>
          <w:p>
            <w:r>
              <w:rPr>
                <w:sz w:val="16"/>
              </w:rPr>
              <w:t>7. Operate</w:t>
            </w:r>
          </w:p>
        </w:tc>
        <w:tc>
          <w:tcPr>
            <w:tcW w:type="dxa" w:w="8352"/>
            <w:vAlign w:val="top"/>
            <w:tcMar>
              <w:top w:w="80" w:type="dxa"/>
              <w:start w:w="100" w:type="dxa"/>
              <w:bottom w:w="80" w:type="dxa"/>
              <w:end w:w="100" w:type="dxa"/>
            </w:tcMar>
          </w:tcPr>
          <w:p>
            <w:r>
              <w:rPr>
                <w:sz w:val="16"/>
              </w:rPr>
              <w:t>Monitor refresh failures, metric drift, adoption, enhancement requests, and periodic definition review.</w:t>
            </w:r>
          </w:p>
        </w:tc>
      </w:tr>
    </w:tbl>
    <w:tbl>
      <w:tblPr>
        <w:tblW w:type="auto" w:w="0"/>
        <w:tblLayout w:type="fixed"/>
        <w:tblLook w:firstColumn="1" w:firstRow="1" w:lastColumn="0" w:lastRow="0" w:noHBand="0" w:noVBand="1" w:val="04A0"/>
      </w:tblPr>
      <w:tblGrid>
        <w:gridCol w:w="10080"/>
      </w:tblGrid>
      <w:tr>
        <w:tc>
          <w:tcPr>
            <w:tcW w:type="dxa" w:w="10224"/>
            <w:shd w:fill="17365D"/>
            <w:tcMar>
              <w:top w:w="90" w:type="dxa"/>
              <w:start w:w="140" w:type="dxa"/>
              <w:bottom w:w="90" w:type="dxa"/>
              <w:end w:w="140" w:type="dxa"/>
            </w:tcMar>
          </w:tcPr>
          <w:p>
            <w:r>
              <w:rPr>
                <w:b/>
                <w:color w:val="FFFFFF"/>
                <w:sz w:val="24"/>
              </w:rPr>
              <w:t>4. Change &amp; Requirements Governance</w:t>
            </w:r>
          </w:p>
        </w:tc>
      </w:tr>
    </w:tbl>
    <w:p>
      <w:pPr>
        <w:spacing w:after="0"/>
      </w:pPr>
    </w:p>
    <w:p>
      <w:pPr>
        <w:pStyle w:val="ListBullet"/>
        <w:spacing w:after="40"/>
      </w:pPr>
      <w:r>
        <w:t>Every requested change receives a change ID, business rationale, requester, affected requirement/KPI, priority, owner, and target release.</w:t>
      </w:r>
    </w:p>
    <w:p>
      <w:pPr>
        <w:pStyle w:val="ListBullet"/>
        <w:spacing w:after="40"/>
      </w:pPr>
      <w:r>
        <w:t>Metric-definition changes require both business-owner and data-owner review because they can alter historical comparability.</w:t>
      </w:r>
    </w:p>
    <w:p>
      <w:pPr>
        <w:pStyle w:val="ListBullet"/>
        <w:spacing w:after="40"/>
      </w:pPr>
      <w:r>
        <w:t>New filters or dimensions require assessment of data availability, data quality, privacy/access, visual impact, and performance.</w:t>
      </w:r>
    </w:p>
    <w:p>
      <w:pPr>
        <w:pStyle w:val="ListBullet"/>
        <w:spacing w:after="40"/>
      </w:pPr>
      <w:r>
        <w:t>Changes to status logic, referral treatment, duplicate treatment, or aging thresholds require traceability updates and regression testing.</w:t>
      </w:r>
    </w:p>
    <w:p>
      <w:pPr>
        <w:pStyle w:val="ListBullet"/>
        <w:spacing w:after="40"/>
      </w:pPr>
      <w:r>
        <w:t>Retired metrics remain documented with effective dates so historical reports can be interpreted correctly.</w:t>
      </w:r>
    </w:p>
    <w:tbl>
      <w:tblPr>
        <w:tblW w:type="auto" w:w="0"/>
        <w:tblLayout w:type="fixed"/>
        <w:tblLook w:firstColumn="1" w:firstRow="1" w:lastColumn="0" w:lastRow="0" w:noHBand="0" w:noVBand="1" w:val="04A0"/>
      </w:tblPr>
      <w:tblGrid>
        <w:gridCol w:w="10080"/>
      </w:tblGrid>
      <w:tr>
        <w:tc>
          <w:tcPr>
            <w:tcW w:type="dxa" w:w="10224"/>
            <w:shd w:fill="17365D"/>
            <w:tcMar>
              <w:top w:w="90" w:type="dxa"/>
              <w:start w:w="140" w:type="dxa"/>
              <w:bottom w:w="90" w:type="dxa"/>
              <w:end w:w="140" w:type="dxa"/>
            </w:tcMar>
          </w:tcPr>
          <w:p>
            <w:r>
              <w:rPr>
                <w:b/>
                <w:color w:val="FFFFFF"/>
                <w:sz w:val="24"/>
              </w:rPr>
              <w:t>5. Training &amp; Adoption</w:t>
            </w:r>
          </w:p>
        </w:tc>
      </w:tr>
    </w:tbl>
    <w:p>
      <w:pPr>
        <w:spacing w:after="0"/>
      </w:pPr>
    </w:p>
    <w:tbl>
      <w:tblPr>
        <w:tblStyle w:val="TableGrid"/>
        <w:tblW w:type="auto" w:w="0"/>
        <w:jc w:val="center"/>
        <w:tblLook w:firstColumn="1" w:firstRow="1" w:lastColumn="0" w:lastRow="0" w:noHBand="0" w:noVBand="1" w:val="04A0"/>
      </w:tblPr>
      <w:tblGrid>
        <w:gridCol w:w="5112"/>
        <w:gridCol w:w="5112"/>
      </w:tblGrid>
      <w:tr>
        <w:tc>
          <w:tcPr>
            <w:tcW w:type="dxa" w:w="2880"/>
            <w:shd w:fill="2F5597"/>
          </w:tcPr>
          <w:p>
            <w:pPr>
              <w:jc w:val="center"/>
            </w:pPr>
            <w:r>
              <w:rPr>
                <w:b/>
                <w:color w:val="FFFFFF"/>
                <w:sz w:val="16"/>
              </w:rPr>
              <w:t>Audience</w:t>
            </w:r>
          </w:p>
        </w:tc>
        <w:tc>
          <w:tcPr>
            <w:tcW w:type="dxa" w:w="7200"/>
            <w:shd w:fill="2F5597"/>
          </w:tcPr>
          <w:p>
            <w:pPr>
              <w:jc w:val="center"/>
            </w:pPr>
            <w:r>
              <w:rPr>
                <w:b/>
                <w:color w:val="FFFFFF"/>
                <w:sz w:val="16"/>
              </w:rPr>
              <w:t>Training Focus</w:t>
            </w:r>
          </w:p>
        </w:tc>
      </w:tr>
      <w:tr>
        <w:tc>
          <w:tcPr>
            <w:tcW w:type="dxa" w:w="2880"/>
            <w:vAlign w:val="top"/>
            <w:tcMar>
              <w:top w:w="80" w:type="dxa"/>
              <w:start w:w="100" w:type="dxa"/>
              <w:bottom w:w="80" w:type="dxa"/>
              <w:end w:w="100" w:type="dxa"/>
            </w:tcMar>
          </w:tcPr>
          <w:p>
            <w:r>
              <w:rPr>
                <w:sz w:val="16"/>
              </w:rPr>
              <w:t>Operations leadership</w:t>
            </w:r>
          </w:p>
        </w:tc>
        <w:tc>
          <w:tcPr>
            <w:tcW w:type="dxa" w:w="7200"/>
            <w:vAlign w:val="top"/>
            <w:tcMar>
              <w:top w:w="80" w:type="dxa"/>
              <w:start w:w="100" w:type="dxa"/>
              <w:bottom w:w="80" w:type="dxa"/>
              <w:end w:w="100" w:type="dxa"/>
            </w:tcMar>
          </w:tcPr>
          <w:p>
            <w:r>
              <w:rPr>
                <w:sz w:val="16"/>
              </w:rPr>
              <w:t>How to read executive KPIs; what the metrics can/cannot prove; how to move from signal to investigation.</w:t>
            </w:r>
          </w:p>
        </w:tc>
      </w:tr>
      <w:tr>
        <w:tc>
          <w:tcPr>
            <w:tcW w:type="dxa" w:w="2880"/>
            <w:vAlign w:val="top"/>
            <w:tcMar>
              <w:top w:w="80" w:type="dxa"/>
              <w:start w:w="100" w:type="dxa"/>
              <w:bottom w:w="80" w:type="dxa"/>
              <w:end w:w="100" w:type="dxa"/>
            </w:tcMar>
          </w:tcPr>
          <w:p>
            <w:r>
              <w:rPr>
                <w:sz w:val="16"/>
              </w:rPr>
              <w:t>Program managers</w:t>
            </w:r>
          </w:p>
        </w:tc>
        <w:tc>
          <w:tcPr>
            <w:tcW w:type="dxa" w:w="7200"/>
            <w:vAlign w:val="top"/>
            <w:tcMar>
              <w:top w:w="80" w:type="dxa"/>
              <w:start w:w="100" w:type="dxa"/>
              <w:bottom w:w="80" w:type="dxa"/>
              <w:end w:w="100" w:type="dxa"/>
            </w:tcMar>
          </w:tcPr>
          <w:p>
            <w:r>
              <w:rPr>
                <w:sz w:val="16"/>
              </w:rPr>
              <w:t>Service-specific filtering, aging interpretation, duplicate/referral caveats, follow-up questions.</w:t>
            </w:r>
          </w:p>
        </w:tc>
      </w:tr>
      <w:tr>
        <w:tc>
          <w:tcPr>
            <w:tcW w:type="dxa" w:w="2880"/>
            <w:vAlign w:val="top"/>
            <w:tcMar>
              <w:top w:w="80" w:type="dxa"/>
              <w:start w:w="100" w:type="dxa"/>
              <w:bottom w:w="80" w:type="dxa"/>
              <w:end w:w="100" w:type="dxa"/>
            </w:tcMar>
          </w:tcPr>
          <w:p>
            <w:r>
              <w:rPr>
                <w:sz w:val="16"/>
              </w:rPr>
              <w:t>Analysts</w:t>
            </w:r>
          </w:p>
        </w:tc>
        <w:tc>
          <w:tcPr>
            <w:tcW w:type="dxa" w:w="7200"/>
            <w:vAlign w:val="top"/>
            <w:tcMar>
              <w:top w:w="80" w:type="dxa"/>
              <w:start w:w="100" w:type="dxa"/>
              <w:bottom w:w="80" w:type="dxa"/>
              <w:end w:w="100" w:type="dxa"/>
            </w:tcMar>
          </w:tcPr>
          <w:p>
            <w:r>
              <w:rPr>
                <w:sz w:val="16"/>
              </w:rPr>
              <w:t>Metric definitions, data quality, model relationships, traceability, refresh/reconciliation.</w:t>
            </w:r>
          </w:p>
        </w:tc>
      </w:tr>
      <w:tr>
        <w:tc>
          <w:tcPr>
            <w:tcW w:type="dxa" w:w="2880"/>
            <w:vAlign w:val="top"/>
            <w:tcMar>
              <w:top w:w="80" w:type="dxa"/>
              <w:start w:w="100" w:type="dxa"/>
              <w:bottom w:w="80" w:type="dxa"/>
              <w:end w:w="100" w:type="dxa"/>
            </w:tcMar>
          </w:tcPr>
          <w:p>
            <w:r>
              <w:rPr>
                <w:sz w:val="16"/>
              </w:rPr>
              <w:t>Support/IT</w:t>
            </w:r>
          </w:p>
        </w:tc>
        <w:tc>
          <w:tcPr>
            <w:tcW w:type="dxa" w:w="7200"/>
            <w:vAlign w:val="top"/>
            <w:tcMar>
              <w:top w:w="80" w:type="dxa"/>
              <w:start w:w="100" w:type="dxa"/>
              <w:bottom w:w="80" w:type="dxa"/>
              <w:end w:w="100" w:type="dxa"/>
            </w:tcMar>
          </w:tcPr>
          <w:p>
            <w:r>
              <w:rPr>
                <w:sz w:val="16"/>
              </w:rPr>
              <w:t>Refresh ownership, incident handling, versioning, release notes, source-schema changes.</w:t>
            </w:r>
          </w:p>
        </w:tc>
      </w:tr>
    </w:tbl>
    <w:tbl>
      <w:tblPr>
        <w:tblW w:type="auto" w:w="0"/>
        <w:tblLayout w:type="fixed"/>
        <w:tblLook w:firstColumn="1" w:firstRow="1" w:lastColumn="0" w:lastRow="0" w:noHBand="0" w:noVBand="1" w:val="04A0"/>
      </w:tblPr>
      <w:tblGrid>
        <w:gridCol w:w="10080"/>
      </w:tblGrid>
      <w:tr>
        <w:tc>
          <w:tcPr>
            <w:tcW w:type="dxa" w:w="10224"/>
            <w:shd w:fill="17365D"/>
            <w:tcMar>
              <w:top w:w="90" w:type="dxa"/>
              <w:start w:w="140" w:type="dxa"/>
              <w:bottom w:w="90" w:type="dxa"/>
              <w:end w:w="140" w:type="dxa"/>
            </w:tcMar>
          </w:tcPr>
          <w:p>
            <w:r>
              <w:rPr>
                <w:b/>
                <w:color w:val="FFFFFF"/>
                <w:sz w:val="24"/>
              </w:rPr>
              <w:t>6. Operational Readiness Checklist</w:t>
            </w:r>
          </w:p>
        </w:tc>
      </w:tr>
    </w:tbl>
    <w:p>
      <w:pPr>
        <w:spacing w:after="0"/>
      </w:pPr>
    </w:p>
    <w:tbl>
      <w:tblPr>
        <w:tblStyle w:val="TableGrid"/>
        <w:tblW w:type="auto" w:w="0"/>
        <w:jc w:val="center"/>
        <w:tblLook w:firstColumn="1" w:firstRow="1" w:lastColumn="0" w:lastRow="0" w:noHBand="0" w:noVBand="1" w:val="04A0"/>
      </w:tblPr>
      <w:tblGrid>
        <w:gridCol w:w="5112"/>
        <w:gridCol w:w="5112"/>
      </w:tblGrid>
      <w:tr>
        <w:tc>
          <w:tcPr>
            <w:tcW w:type="dxa" w:w="8208"/>
            <w:shd w:fill="2F5597"/>
          </w:tcPr>
          <w:p>
            <w:pPr>
              <w:jc w:val="center"/>
            </w:pPr>
            <w:r>
              <w:rPr>
                <w:b/>
                <w:color w:val="FFFFFF"/>
                <w:sz w:val="16"/>
              </w:rPr>
              <w:t>Readiness Item</w:t>
            </w:r>
          </w:p>
        </w:tc>
        <w:tc>
          <w:tcPr>
            <w:tcW w:type="dxa" w:w="1872"/>
            <w:shd w:fill="2F5597"/>
          </w:tcPr>
          <w:p>
            <w:pPr>
              <w:jc w:val="center"/>
            </w:pPr>
            <w:r>
              <w:rPr>
                <w:b/>
                <w:color w:val="FFFFFF"/>
                <w:sz w:val="16"/>
              </w:rPr>
              <w:t>Portfolio Status</w:t>
            </w:r>
          </w:p>
        </w:tc>
      </w:tr>
      <w:tr>
        <w:tc>
          <w:tcPr>
            <w:tcW w:type="dxa" w:w="8208"/>
            <w:vAlign w:val="top"/>
            <w:tcMar>
              <w:top w:w="80" w:type="dxa"/>
              <w:start w:w="100" w:type="dxa"/>
              <w:bottom w:w="80" w:type="dxa"/>
              <w:end w:w="100" w:type="dxa"/>
            </w:tcMar>
          </w:tcPr>
          <w:p>
            <w:r>
              <w:rPr>
                <w:sz w:val="16"/>
              </w:rPr>
              <w:t>Metric owner named</w:t>
            </w:r>
          </w:p>
        </w:tc>
        <w:tc>
          <w:tcPr>
            <w:tcW w:type="dxa" w:w="1872"/>
            <w:vAlign w:val="top"/>
            <w:tcMar>
              <w:top w:w="80" w:type="dxa"/>
              <w:start w:w="100" w:type="dxa"/>
              <w:bottom w:w="80" w:type="dxa"/>
              <w:end w:w="100" w:type="dxa"/>
            </w:tcMar>
          </w:tcPr>
          <w:p>
            <w:r>
              <w:rPr>
                <w:sz w:val="16"/>
              </w:rPr>
              <w:t>Open</w:t>
            </w:r>
          </w:p>
        </w:tc>
      </w:tr>
      <w:tr>
        <w:tc>
          <w:tcPr>
            <w:tcW w:type="dxa" w:w="8208"/>
            <w:vAlign w:val="top"/>
            <w:tcMar>
              <w:top w:w="80" w:type="dxa"/>
              <w:start w:w="100" w:type="dxa"/>
              <w:bottom w:w="80" w:type="dxa"/>
              <w:end w:w="100" w:type="dxa"/>
            </w:tcMar>
          </w:tcPr>
          <w:p>
            <w:r>
              <w:rPr>
                <w:sz w:val="16"/>
              </w:rPr>
              <w:t>Source/data owner named</w:t>
            </w:r>
          </w:p>
        </w:tc>
        <w:tc>
          <w:tcPr>
            <w:tcW w:type="dxa" w:w="1872"/>
            <w:vAlign w:val="top"/>
            <w:tcMar>
              <w:top w:w="80" w:type="dxa"/>
              <w:start w:w="100" w:type="dxa"/>
              <w:bottom w:w="80" w:type="dxa"/>
              <w:end w:w="100" w:type="dxa"/>
            </w:tcMar>
          </w:tcPr>
          <w:p>
            <w:r>
              <w:rPr>
                <w:sz w:val="16"/>
              </w:rPr>
              <w:t>Open</w:t>
            </w:r>
          </w:p>
        </w:tc>
      </w:tr>
      <w:tr>
        <w:tc>
          <w:tcPr>
            <w:tcW w:type="dxa" w:w="8208"/>
            <w:vAlign w:val="top"/>
            <w:tcMar>
              <w:top w:w="80" w:type="dxa"/>
              <w:start w:w="100" w:type="dxa"/>
              <w:bottom w:w="80" w:type="dxa"/>
              <w:end w:w="100" w:type="dxa"/>
            </w:tcMar>
          </w:tcPr>
          <w:p>
            <w:r>
              <w:rPr>
                <w:sz w:val="16"/>
              </w:rPr>
              <w:t>Refresh cadence approved</w:t>
            </w:r>
          </w:p>
        </w:tc>
        <w:tc>
          <w:tcPr>
            <w:tcW w:type="dxa" w:w="1872"/>
            <w:vAlign w:val="top"/>
            <w:tcMar>
              <w:top w:w="80" w:type="dxa"/>
              <w:start w:w="100" w:type="dxa"/>
              <w:bottom w:w="80" w:type="dxa"/>
              <w:end w:w="100" w:type="dxa"/>
            </w:tcMar>
          </w:tcPr>
          <w:p>
            <w:r>
              <w:rPr>
                <w:sz w:val="16"/>
              </w:rPr>
              <w:t>Open</w:t>
            </w:r>
          </w:p>
        </w:tc>
      </w:tr>
      <w:tr>
        <w:tc>
          <w:tcPr>
            <w:tcW w:type="dxa" w:w="8208"/>
            <w:vAlign w:val="top"/>
            <w:tcMar>
              <w:top w:w="80" w:type="dxa"/>
              <w:start w:w="100" w:type="dxa"/>
              <w:bottom w:w="80" w:type="dxa"/>
              <w:end w:w="100" w:type="dxa"/>
            </w:tcMar>
          </w:tcPr>
          <w:p>
            <w:r>
              <w:rPr>
                <w:sz w:val="16"/>
              </w:rPr>
              <w:t>Service-specific aging targets validated</w:t>
            </w:r>
          </w:p>
        </w:tc>
        <w:tc>
          <w:tcPr>
            <w:tcW w:type="dxa" w:w="1872"/>
            <w:vAlign w:val="top"/>
            <w:tcMar>
              <w:top w:w="80" w:type="dxa"/>
              <w:start w:w="100" w:type="dxa"/>
              <w:bottom w:w="80" w:type="dxa"/>
              <w:end w:w="100" w:type="dxa"/>
            </w:tcMar>
          </w:tcPr>
          <w:p>
            <w:r>
              <w:rPr>
                <w:sz w:val="16"/>
              </w:rPr>
              <w:t>Open</w:t>
            </w:r>
          </w:p>
        </w:tc>
      </w:tr>
      <w:tr>
        <w:tc>
          <w:tcPr>
            <w:tcW w:type="dxa" w:w="8208"/>
            <w:vAlign w:val="top"/>
            <w:tcMar>
              <w:top w:w="80" w:type="dxa"/>
              <w:start w:w="100" w:type="dxa"/>
              <w:bottom w:w="80" w:type="dxa"/>
              <w:end w:w="100" w:type="dxa"/>
            </w:tcMar>
          </w:tcPr>
          <w:p>
            <w:r>
              <w:rPr>
                <w:sz w:val="16"/>
              </w:rPr>
              <w:t>Status/referral/duplicate rules approved</w:t>
            </w:r>
          </w:p>
        </w:tc>
        <w:tc>
          <w:tcPr>
            <w:tcW w:type="dxa" w:w="1872"/>
            <w:vAlign w:val="top"/>
            <w:tcMar>
              <w:top w:w="80" w:type="dxa"/>
              <w:start w:w="100" w:type="dxa"/>
              <w:bottom w:w="80" w:type="dxa"/>
              <w:end w:w="100" w:type="dxa"/>
            </w:tcMar>
          </w:tcPr>
          <w:p>
            <w:r>
              <w:rPr>
                <w:sz w:val="16"/>
              </w:rPr>
              <w:t>Open</w:t>
            </w:r>
          </w:p>
        </w:tc>
      </w:tr>
      <w:tr>
        <w:tc>
          <w:tcPr>
            <w:tcW w:type="dxa" w:w="8208"/>
            <w:vAlign w:val="top"/>
            <w:tcMar>
              <w:top w:w="80" w:type="dxa"/>
              <w:start w:w="100" w:type="dxa"/>
              <w:bottom w:w="80" w:type="dxa"/>
              <w:end w:w="100" w:type="dxa"/>
            </w:tcMar>
          </w:tcPr>
          <w:p>
            <w:r>
              <w:rPr>
                <w:sz w:val="16"/>
              </w:rPr>
              <w:t>Row-count and metric reconciliation automated</w:t>
            </w:r>
          </w:p>
        </w:tc>
        <w:tc>
          <w:tcPr>
            <w:tcW w:type="dxa" w:w="1872"/>
            <w:vAlign w:val="top"/>
            <w:tcMar>
              <w:top w:w="80" w:type="dxa"/>
              <w:start w:w="100" w:type="dxa"/>
              <w:bottom w:w="80" w:type="dxa"/>
              <w:end w:w="100" w:type="dxa"/>
            </w:tcMar>
          </w:tcPr>
          <w:p>
            <w:r>
              <w:rPr>
                <w:sz w:val="16"/>
              </w:rPr>
              <w:t>Open</w:t>
            </w:r>
          </w:p>
        </w:tc>
      </w:tr>
      <w:tr>
        <w:tc>
          <w:tcPr>
            <w:tcW w:type="dxa" w:w="8208"/>
            <w:vAlign w:val="top"/>
            <w:tcMar>
              <w:top w:w="80" w:type="dxa"/>
              <w:start w:w="100" w:type="dxa"/>
              <w:bottom w:w="80" w:type="dxa"/>
              <w:end w:w="100" w:type="dxa"/>
            </w:tcMar>
          </w:tcPr>
          <w:p>
            <w:r>
              <w:rPr>
                <w:sz w:val="16"/>
              </w:rPr>
              <w:t>UAT executed and defects closed</w:t>
            </w:r>
          </w:p>
        </w:tc>
        <w:tc>
          <w:tcPr>
            <w:tcW w:type="dxa" w:w="1872"/>
            <w:vAlign w:val="top"/>
            <w:tcMar>
              <w:top w:w="80" w:type="dxa"/>
              <w:start w:w="100" w:type="dxa"/>
              <w:bottom w:w="80" w:type="dxa"/>
              <w:end w:w="100" w:type="dxa"/>
            </w:tcMar>
          </w:tcPr>
          <w:p>
            <w:r>
              <w:rPr>
                <w:sz w:val="16"/>
              </w:rPr>
              <w:t>Open</w:t>
            </w:r>
          </w:p>
        </w:tc>
      </w:tr>
      <w:tr>
        <w:tc>
          <w:tcPr>
            <w:tcW w:type="dxa" w:w="8208"/>
            <w:vAlign w:val="top"/>
            <w:tcMar>
              <w:top w:w="80" w:type="dxa"/>
              <w:start w:w="100" w:type="dxa"/>
              <w:bottom w:w="80" w:type="dxa"/>
              <w:end w:w="100" w:type="dxa"/>
            </w:tcMar>
          </w:tcPr>
          <w:p>
            <w:r>
              <w:rPr>
                <w:sz w:val="16"/>
              </w:rPr>
              <w:t>Access/security model approved</w:t>
            </w:r>
          </w:p>
        </w:tc>
        <w:tc>
          <w:tcPr>
            <w:tcW w:type="dxa" w:w="1872"/>
            <w:vAlign w:val="top"/>
            <w:tcMar>
              <w:top w:w="80" w:type="dxa"/>
              <w:start w:w="100" w:type="dxa"/>
              <w:bottom w:w="80" w:type="dxa"/>
              <w:end w:w="100" w:type="dxa"/>
            </w:tcMar>
          </w:tcPr>
          <w:p>
            <w:r>
              <w:rPr>
                <w:sz w:val="16"/>
              </w:rPr>
              <w:t>Open</w:t>
            </w:r>
          </w:p>
        </w:tc>
      </w:tr>
      <w:tr>
        <w:tc>
          <w:tcPr>
            <w:tcW w:type="dxa" w:w="8208"/>
            <w:vAlign w:val="top"/>
            <w:tcMar>
              <w:top w:w="80" w:type="dxa"/>
              <w:start w:w="100" w:type="dxa"/>
              <w:bottom w:w="80" w:type="dxa"/>
              <w:end w:w="100" w:type="dxa"/>
            </w:tcMar>
          </w:tcPr>
          <w:p>
            <w:r>
              <w:rPr>
                <w:sz w:val="16"/>
              </w:rPr>
              <w:t>Training completed</w:t>
            </w:r>
          </w:p>
        </w:tc>
        <w:tc>
          <w:tcPr>
            <w:tcW w:type="dxa" w:w="1872"/>
            <w:vAlign w:val="top"/>
            <w:tcMar>
              <w:top w:w="80" w:type="dxa"/>
              <w:start w:w="100" w:type="dxa"/>
              <w:bottom w:w="80" w:type="dxa"/>
              <w:end w:w="100" w:type="dxa"/>
            </w:tcMar>
          </w:tcPr>
          <w:p>
            <w:r>
              <w:rPr>
                <w:sz w:val="16"/>
              </w:rPr>
              <w:t>Open</w:t>
            </w:r>
          </w:p>
        </w:tc>
      </w:tr>
      <w:tr>
        <w:tc>
          <w:tcPr>
            <w:tcW w:type="dxa" w:w="8208"/>
            <w:vAlign w:val="top"/>
            <w:tcMar>
              <w:top w:w="80" w:type="dxa"/>
              <w:start w:w="100" w:type="dxa"/>
              <w:bottom w:w="80" w:type="dxa"/>
              <w:end w:w="100" w:type="dxa"/>
            </w:tcMar>
          </w:tcPr>
          <w:p>
            <w:r>
              <w:rPr>
                <w:sz w:val="16"/>
              </w:rPr>
              <w:t>Support/change-request process published</w:t>
            </w:r>
          </w:p>
        </w:tc>
        <w:tc>
          <w:tcPr>
            <w:tcW w:type="dxa" w:w="1872"/>
            <w:vAlign w:val="top"/>
            <w:tcMar>
              <w:top w:w="80" w:type="dxa"/>
              <w:start w:w="100" w:type="dxa"/>
              <w:bottom w:w="80" w:type="dxa"/>
              <w:end w:w="100" w:type="dxa"/>
            </w:tcMar>
          </w:tcPr>
          <w:p>
            <w:r>
              <w:rPr>
                <w:sz w:val="16"/>
              </w:rPr>
              <w:t>Open</w:t>
            </w:r>
          </w:p>
        </w:tc>
      </w:tr>
    </w:tbl>
    <w:tbl>
      <w:tblPr>
        <w:tblW w:type="auto" w:w="0"/>
        <w:tblLayout w:type="fixed"/>
        <w:tblLook w:firstColumn="1" w:firstRow="1" w:lastColumn="0" w:lastRow="0" w:noHBand="0" w:noVBand="1" w:val="04A0"/>
      </w:tblPr>
      <w:tblGrid>
        <w:gridCol w:w="10080"/>
      </w:tblGrid>
      <w:tr>
        <w:tc>
          <w:tcPr>
            <w:tcW w:type="dxa" w:w="10224"/>
            <w:shd w:fill="17365D"/>
            <w:tcMar>
              <w:top w:w="90" w:type="dxa"/>
              <w:start w:w="140" w:type="dxa"/>
              <w:bottom w:w="90" w:type="dxa"/>
              <w:end w:w="140" w:type="dxa"/>
            </w:tcMar>
          </w:tcPr>
          <w:p>
            <w:r>
              <w:rPr>
                <w:b/>
                <w:color w:val="FFFFFF"/>
                <w:sz w:val="24"/>
              </w:rPr>
              <w:t>7. Change Success Measures</w:t>
            </w:r>
          </w:p>
        </w:tc>
      </w:tr>
    </w:tbl>
    <w:p>
      <w:pPr>
        <w:spacing w:after="0"/>
      </w:pPr>
    </w:p>
    <w:p>
      <w:r>
        <w:t>A live implementation should measure whether the reporting capability improves decision-making rather than simply whether the dashboard is opened. Proposed adoption/success indicators include: recurring usage by intended roles, reduction in manual report preparation, time to identify a backlog exception, percentage of KPI definitions with named owners, refresh/data-quality incident rate, UAT defect closure rate, and stakeholder confidence in metric interpretation.</w:t>
      </w:r>
    </w:p>
    <w:tbl>
      <w:tblPr>
        <w:tblW w:type="auto" w:w="0"/>
        <w:tblLayout w:type="fixed"/>
        <w:tblLook w:firstColumn="1" w:firstRow="1" w:lastColumn="0" w:lastRow="0" w:noHBand="0" w:noVBand="1" w:val="04A0"/>
      </w:tblPr>
      <w:tblGrid>
        <w:gridCol w:w="10080"/>
      </w:tblGrid>
      <w:tr>
        <w:tc>
          <w:tcPr>
            <w:tcW w:type="dxa" w:w="10224"/>
            <w:shd w:fill="17365D"/>
            <w:tcMar>
              <w:top w:w="90" w:type="dxa"/>
              <w:start w:w="140" w:type="dxa"/>
              <w:bottom w:w="90" w:type="dxa"/>
              <w:end w:w="140" w:type="dxa"/>
            </w:tcMar>
          </w:tcPr>
          <w:p>
            <w:r>
              <w:rPr>
                <w:b/>
                <w:color w:val="FFFFFF"/>
                <w:sz w:val="24"/>
              </w:rPr>
              <w:t>8. Portfolio Boundary</w:t>
            </w:r>
          </w:p>
        </w:tc>
      </w:tr>
    </w:tbl>
    <w:p>
      <w:pPr>
        <w:spacing w:after="0"/>
      </w:pPr>
    </w:p>
    <w:p>
      <w:r>
        <w:t>None of the ownership assignments, training plans, cadence, or readiness statuses in this artifact are represented as current City of San Diego practice. They demonstrate how the BA would plan implementation and change management after requirements and solution validation.</w:t>
      </w:r>
    </w:p>
    <w:sectPr w:rsidR="00FC693F" w:rsidRPr="0006063C" w:rsidSect="00034616">
      <w:headerReference w:type="default" r:id="rId9"/>
      <w:footerReference w:type="default" r:id="rId10"/>
      <w:pgSz w:w="12240" w:h="15840"/>
      <w:pgMar w:top="864"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Portfolio Case Study | Chase Brangham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F5597"/>
        <w:sz w:val="15"/>
      </w:rPr>
      <w:t>SAN DIEGO SERVICE OPERATIONS | IMPLEMENTATION &amp; CHANGE CONSIDERATIONS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F1F1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seNote">
    <w:name w:val="Case Note"/>
    <w:rPr>
      <w:rFonts w:ascii="Aptos" w:hAnsi="Aptos"/>
      <w:i/>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