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2F5597"/>
          <w:sz w:val="28"/>
        </w:rPr>
        <w:t>SAN DIEGO SERVICE OPERATIONS</w:t>
      </w:r>
    </w:p>
    <w:p>
      <w:pPr>
        <w:jc w:val="center"/>
      </w:pPr>
      <w:r>
        <w:rPr>
          <w:b/>
          <w:color w:val="666666"/>
          <w:sz w:val="22"/>
        </w:rPr>
        <w:t>ARTIFACT 19</w:t>
      </w:r>
    </w:p>
    <w:p>
      <w:pPr>
        <w:spacing w:before="200"/>
        <w:jc w:val="center"/>
      </w:pPr>
      <w:r>
        <w:rPr>
          <w:b/>
          <w:color w:val="17365D"/>
          <w:sz w:val="54"/>
        </w:rPr>
        <w:t>Project Reflection</w:t>
      </w:r>
    </w:p>
    <w:p>
      <w:pPr>
        <w:jc w:val="center"/>
      </w:pPr>
      <w:r>
        <w:rPr>
          <w:color w:val="666666"/>
          <w:sz w:val="24"/>
        </w:rPr>
        <w:t>What changed when the analytics project was viewed through a Business Analyst lens</w:t>
      </w:r>
    </w:p>
    <w:tbl>
      <w:tblPr>
        <w:tblW w:type="auto" w:w="0"/>
        <w:jc w:val="center"/>
        <w:tblLayout w:type="fixed"/>
        <w:tblLook w:firstColumn="1" w:firstRow="1" w:lastColumn="0" w:lastRow="0" w:noHBand="0" w:noVBand="1" w:val="04A0"/>
      </w:tblPr>
      <w:tblGrid>
        <w:gridCol w:w="9648"/>
      </w:tblGrid>
      <w:tr>
        <w:tc>
          <w:tcPr>
            <w:tcW w:type="dxa" w:w="10224"/>
            <w:shd w:fill="F3F6FA"/>
            <w:tcMar>
              <w:top w:w="140" w:type="dxa"/>
              <w:start w:w="180" w:type="dxa"/>
              <w:bottom w:w="140" w:type="dxa"/>
              <w:end w:w="180" w:type="dxa"/>
            </w:tcMar>
          </w:tcPr>
          <w:p>
            <w:pPr>
              <w:jc w:val="center"/>
            </w:pPr>
            <w:r>
              <w:rPr>
                <w:b/>
                <w:color w:val="17365D"/>
              </w:rPr>
              <w:t xml:space="preserve">Portfolio disclosure. </w:t>
            </w:r>
            <w:r>
              <w:t>This is a simulated business-analysis engagement built from public City of San Diego Get It Done data and a completed Power BI analytics project. It does not represent City employment, internal-system access, stakeholder interviews, approved requirements, or formal City acceptance.</w:t>
            </w:r>
          </w:p>
        </w:tc>
      </w:tr>
    </w:tbl>
    <w:p/>
    <w:p>
      <w:pPr>
        <w:jc w:val="center"/>
      </w:pPr>
      <w:r>
        <w:rPr>
          <w:b/>
        </w:rPr>
        <w:t>Prepared by Chase Brangham</w:t>
        <w:br/>
      </w:r>
      <w:r>
        <w:t>October 27, 2026</w:t>
      </w:r>
    </w:p>
    <w:p>
      <w:r>
        <w:br w:type="page"/>
      </w:r>
    </w:p>
    <w:tbl>
      <w:tblPr>
        <w:tblW w:type="auto" w:w="0"/>
        <w:tblLayout w:type="fixed"/>
        <w:tblLook w:firstColumn="1" w:firstRow="1" w:lastColumn="0" w:lastRow="0" w:noHBand="0" w:noVBand="1" w:val="04A0"/>
      </w:tblPr>
      <w:tblGrid>
        <w:gridCol w:w="10080"/>
      </w:tblGrid>
      <w:tr>
        <w:tc>
          <w:tcPr>
            <w:tcW w:type="dxa" w:w="10224"/>
            <w:shd w:fill="17365D"/>
            <w:tcMar>
              <w:top w:w="90" w:type="dxa"/>
              <w:start w:w="140" w:type="dxa"/>
              <w:bottom w:w="90" w:type="dxa"/>
              <w:end w:w="140" w:type="dxa"/>
            </w:tcMar>
          </w:tcPr>
          <w:p>
            <w:r>
              <w:rPr>
                <w:b/>
                <w:color w:val="FFFFFF"/>
                <w:sz w:val="24"/>
              </w:rPr>
              <w:t>1. What the Original Project Proved</w:t>
            </w:r>
          </w:p>
        </w:tc>
      </w:tr>
    </w:tbl>
    <w:p>
      <w:pPr>
        <w:spacing w:after="0"/>
      </w:pPr>
    </w:p>
    <w:p>
      <w:r>
        <w:t>The original San Diego Service Operations project was primarily an analytics build. I combined roughly 800,000 public Get It Done records, corrected ingestion/data-quality issues, built a date model and DAX measures, created a two-page Power BI dashboard, and translated the resulting patterns into business recommendations. That demonstrated the technical side of operational analysis.</w:t>
      </w:r>
    </w:p>
    <w:tbl>
      <w:tblPr>
        <w:tblW w:type="auto" w:w="0"/>
        <w:tblLayout w:type="fixed"/>
        <w:tblLook w:firstColumn="1" w:firstRow="1" w:lastColumn="0" w:lastRow="0" w:noHBand="0" w:noVBand="1" w:val="04A0"/>
      </w:tblPr>
      <w:tblGrid>
        <w:gridCol w:w="10080"/>
      </w:tblGrid>
      <w:tr>
        <w:tc>
          <w:tcPr>
            <w:tcW w:type="dxa" w:w="10224"/>
            <w:shd w:fill="17365D"/>
            <w:tcMar>
              <w:top w:w="90" w:type="dxa"/>
              <w:start w:w="140" w:type="dxa"/>
              <w:bottom w:w="90" w:type="dxa"/>
              <w:end w:w="140" w:type="dxa"/>
            </w:tcMar>
          </w:tcPr>
          <w:p>
            <w:r>
              <w:rPr>
                <w:b/>
                <w:color w:val="FFFFFF"/>
                <w:sz w:val="24"/>
              </w:rPr>
              <w:t>2. What the BA Extension Added</w:t>
            </w:r>
          </w:p>
        </w:tc>
      </w:tr>
    </w:tbl>
    <w:p>
      <w:pPr>
        <w:spacing w:after="0"/>
      </w:pPr>
    </w:p>
    <w:p>
      <w:r>
        <w:t>The BA extension forced me to answer questions that are easy to skip when the goal is simply to build a dashboard: Who is the user? What decision are they trying to make? What is the requirement rather than the feature? Which definitions must be agreed on? What assumptions am I making? What would count as acceptance? What evidence is missing before recommending a process change?</w:t>
      </w:r>
    </w:p>
    <w:p>
      <w:pPr>
        <w:pStyle w:val="ListBullet"/>
        <w:spacing w:after="40"/>
      </w:pPr>
      <w:r>
        <w:t>I separated the business problem from the solution. The problem is operational visibility and prioritization, not “needing Power BI.”</w:t>
      </w:r>
    </w:p>
    <w:p>
      <w:pPr>
        <w:pStyle w:val="ListBullet"/>
        <w:spacing w:after="40"/>
      </w:pPr>
      <w:r>
        <w:t>I learned to trace a need from business requirement to functional requirement, user story, solution capability, and validation scenario.</w:t>
      </w:r>
    </w:p>
    <w:p>
      <w:pPr>
        <w:pStyle w:val="ListBullet"/>
        <w:spacing w:after="40"/>
      </w:pPr>
      <w:r>
        <w:t>I treated metric definitions as governed business decisions, especially for backlog aging, dispositions, duplicates, and referrals.</w:t>
      </w:r>
    </w:p>
    <w:p>
      <w:pPr>
        <w:pStyle w:val="ListBullet"/>
        <w:spacing w:after="40"/>
      </w:pPr>
      <w:r>
        <w:t>I documented where the public data stops. That prevented the case study from pretending it knew internal work-order flow, staffing, service targets, or physical resolution outcomes.</w:t>
      </w:r>
    </w:p>
    <w:p>
      <w:pPr>
        <w:pStyle w:val="ListBullet"/>
        <w:spacing w:after="40"/>
      </w:pPr>
      <w:r>
        <w:t>I separated analyst verification from UAT. I can verify that a dashboard capability is present, but I cannot claim business acceptance without representative users.</w:t>
      </w:r>
    </w:p>
    <w:tbl>
      <w:tblPr>
        <w:tblW w:type="auto" w:w="0"/>
        <w:tblLayout w:type="fixed"/>
        <w:tblLook w:firstColumn="1" w:firstRow="1" w:lastColumn="0" w:lastRow="0" w:noHBand="0" w:noVBand="1" w:val="04A0"/>
      </w:tblPr>
      <w:tblGrid>
        <w:gridCol w:w="10080"/>
      </w:tblGrid>
      <w:tr>
        <w:tc>
          <w:tcPr>
            <w:tcW w:type="dxa" w:w="10224"/>
            <w:shd w:fill="17365D"/>
            <w:tcMar>
              <w:top w:w="90" w:type="dxa"/>
              <w:start w:w="140" w:type="dxa"/>
              <w:bottom w:w="90" w:type="dxa"/>
              <w:end w:w="140" w:type="dxa"/>
            </w:tcMar>
          </w:tcPr>
          <w:p>
            <w:r>
              <w:rPr>
                <w:b/>
                <w:color w:val="FFFFFF"/>
                <w:sz w:val="24"/>
              </w:rPr>
              <w:t>3. What I Would Do Differently in a Live Engagement</w:t>
            </w:r>
          </w:p>
        </w:tc>
      </w:tr>
    </w:tbl>
    <w:p>
      <w:pPr>
        <w:spacing w:after="0"/>
      </w:pPr>
    </w:p>
    <w:p>
      <w:pPr>
        <w:pStyle w:val="ListBullet"/>
        <w:spacing w:after="40"/>
      </w:pPr>
      <w:r>
        <w:t>Identify and validate stakeholders before solution design.</w:t>
      </w:r>
    </w:p>
    <w:p>
      <w:pPr>
        <w:pStyle w:val="ListBullet"/>
        <w:spacing w:after="40"/>
      </w:pPr>
      <w:r>
        <w:t>Run elicitation sessions to understand decisions, pain points, current reports, service-specific processes, and definitions.</w:t>
      </w:r>
    </w:p>
    <w:p>
      <w:pPr>
        <w:pStyle w:val="ListBullet"/>
        <w:spacing w:after="40"/>
      </w:pPr>
      <w:r>
        <w:t>Agree KPI definitions and service-specific aging expectations before development.</w:t>
      </w:r>
    </w:p>
    <w:p>
      <w:pPr>
        <w:pStyle w:val="ListBullet"/>
        <w:spacing w:after="40"/>
      </w:pPr>
      <w:r>
        <w:t>Build the As-Is process from process-owner evidence rather than public status descriptions alone.</w:t>
      </w:r>
    </w:p>
    <w:p>
      <w:pPr>
        <w:pStyle w:val="ListBullet"/>
        <w:spacing w:after="40"/>
      </w:pPr>
      <w:r>
        <w:t>Prioritize requirements with stakeholders instead of using a retrospective portfolio scoring model.</w:t>
      </w:r>
    </w:p>
    <w:p>
      <w:pPr>
        <w:pStyle w:val="ListBullet"/>
        <w:spacing w:after="40"/>
      </w:pPr>
      <w:r>
        <w:t>Define acceptance criteria before implementation and execute UAT with named business representatives.</w:t>
      </w:r>
    </w:p>
    <w:p>
      <w:pPr>
        <w:pStyle w:val="ListBullet"/>
        <w:spacing w:after="40"/>
      </w:pPr>
      <w:r>
        <w:t>Establish metric ownership, refresh/data-quality controls, release governance, and change management before production adoption.</w:t>
      </w:r>
    </w:p>
    <w:tbl>
      <w:tblPr>
        <w:tblW w:type="auto" w:w="0"/>
        <w:tblLayout w:type="fixed"/>
        <w:tblLook w:firstColumn="1" w:firstRow="1" w:lastColumn="0" w:lastRow="0" w:noHBand="0" w:noVBand="1" w:val="04A0"/>
      </w:tblPr>
      <w:tblGrid>
        <w:gridCol w:w="10080"/>
      </w:tblGrid>
      <w:tr>
        <w:tc>
          <w:tcPr>
            <w:tcW w:type="dxa" w:w="10224"/>
            <w:shd w:fill="17365D"/>
            <w:tcMar>
              <w:top w:w="90" w:type="dxa"/>
              <w:start w:w="140" w:type="dxa"/>
              <w:bottom w:w="90" w:type="dxa"/>
              <w:end w:w="140" w:type="dxa"/>
            </w:tcMar>
          </w:tcPr>
          <w:p>
            <w:r>
              <w:rPr>
                <w:b/>
                <w:color w:val="FFFFFF"/>
                <w:sz w:val="24"/>
              </w:rPr>
              <w:t>4. The Most Important Analytical Lesson</w:t>
            </w:r>
          </w:p>
        </w:tc>
      </w:tr>
    </w:tbl>
    <w:p>
      <w:pPr>
        <w:spacing w:after="0"/>
      </w:pPr>
    </w:p>
    <w:p>
      <w:r>
        <w:t>A visible pattern is not automatically a root cause. District 3 having the largest backlog does not prove District 3 performs worse. A 41.3% duplicate rate for Street Light Maintenance does not prove residents are dissatisfied or that work is slow. A 90+ day request does not prove a service target was missed. A Referred status does not prove the underlying issue was resolved. The analyst’s job is to surface the signal clearly and then identify what additional evidence is required before acting on it.</w:t>
      </w:r>
    </w:p>
    <w:tbl>
      <w:tblPr>
        <w:tblW w:type="auto" w:w="0"/>
        <w:tblLayout w:type="fixed"/>
        <w:tblLook w:firstColumn="1" w:firstRow="1" w:lastColumn="0" w:lastRow="0" w:noHBand="0" w:noVBand="1" w:val="04A0"/>
      </w:tblPr>
      <w:tblGrid>
        <w:gridCol w:w="10080"/>
      </w:tblGrid>
      <w:tr>
        <w:tc>
          <w:tcPr>
            <w:tcW w:type="dxa" w:w="10224"/>
            <w:shd w:fill="17365D"/>
            <w:tcMar>
              <w:top w:w="90" w:type="dxa"/>
              <w:start w:w="140" w:type="dxa"/>
              <w:bottom w:w="90" w:type="dxa"/>
              <w:end w:w="140" w:type="dxa"/>
            </w:tcMar>
          </w:tcPr>
          <w:p>
            <w:r>
              <w:rPr>
                <w:b/>
                <w:color w:val="FFFFFF"/>
                <w:sz w:val="24"/>
              </w:rPr>
              <w:t>5. The Most Important BA Lesson</w:t>
            </w:r>
          </w:p>
        </w:tc>
      </w:tr>
    </w:tbl>
    <w:p>
      <w:pPr>
        <w:spacing w:after="0"/>
      </w:pPr>
    </w:p>
    <w:p>
      <w:r>
        <w:t>The strongest part of a BA deliverable is not the number of documents. It is the connection between them. A stakeholder need should explain a requirement; a requirement should explain a feature; the feature should have a defined metric or business rule; and the team should know how that capability will be verified and accepted. Traceability is what turns separate artifacts into one coherent project story.</w:t>
      </w:r>
    </w:p>
    <w:tbl>
      <w:tblPr>
        <w:tblW w:type="auto" w:w="0"/>
        <w:tblLayout w:type="fixed"/>
        <w:tblLook w:firstColumn="1" w:firstRow="1" w:lastColumn="0" w:lastRow="0" w:noHBand="0" w:noVBand="1" w:val="04A0"/>
      </w:tblPr>
      <w:tblGrid>
        <w:gridCol w:w="10080"/>
      </w:tblGrid>
      <w:tr>
        <w:tc>
          <w:tcPr>
            <w:tcW w:type="dxa" w:w="10224"/>
            <w:shd w:fill="17365D"/>
            <w:tcMar>
              <w:top w:w="90" w:type="dxa"/>
              <w:start w:w="140" w:type="dxa"/>
              <w:bottom w:w="90" w:type="dxa"/>
              <w:end w:w="140" w:type="dxa"/>
            </w:tcMar>
          </w:tcPr>
          <w:p>
            <w:r>
              <w:rPr>
                <w:b/>
                <w:color w:val="FFFFFF"/>
                <w:sz w:val="24"/>
              </w:rPr>
              <w:t>6. How I Would Explain This Project in an Interview</w:t>
            </w:r>
          </w:p>
        </w:tc>
      </w:tr>
    </w:tbl>
    <w:p>
      <w:pPr>
        <w:spacing w:after="0"/>
      </w:pPr>
    </w:p>
    <w:p>
      <w:r>
        <w:t>I would describe this as a retrospective Business Analysis case study built around a Power BI operations project. I used public City of San Diego Get It Done data to analyze backlog, aging, throughput, duplicate reporting, referrals, and geographic/service concentrations. After the dashboard was complete, I formalized the BA layer: problem/scope, stakeholders, As-Is/To-Be process maps, gap analysis, requirements, user stories and acceptance criteria, KPI/data governance, prioritization, traceability, UAT planning, solution verification, RAID, and implementation considerations. I am careful to distinguish observed evidence from simulated stakeholder assumptions and to avoid presenting public request data as proof of internal performance or root cause.</w:t>
      </w:r>
    </w:p>
    <w:sectPr w:rsidR="00FC693F" w:rsidRPr="0006063C" w:rsidSect="00034616">
      <w:headerReference w:type="default" r:id="rId9"/>
      <w:footerReference w:type="default" r:id="rId10"/>
      <w:pgSz w:w="12240" w:h="15840"/>
      <w:pgMar w:top="864"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5"/>
      </w:rPr>
      <w:t>Portfolio Case Study | Chase Brangham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2F5597"/>
        <w:sz w:val="15"/>
      </w:rPr>
      <w:t>SAN DIEGO SERVICE OPERATIONS | PROJECT REFLECTION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F1F1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2F55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seNote">
    <w:name w:val="Case Note"/>
    <w:rPr>
      <w:rFonts w:ascii="Aptos" w:hAnsi="Aptos"/>
      <w:i/>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