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2F5597"/>
          <w:sz w:val="28"/>
        </w:rPr>
        <w:t>SAN DIEGO SERVICE OPERATIONS</w:t>
      </w:r>
    </w:p>
    <w:p>
      <w:pPr>
        <w:jc w:val="center"/>
      </w:pPr>
      <w:r>
        <w:rPr>
          <w:b/>
          <w:color w:val="666666"/>
          <w:sz w:val="22"/>
        </w:rPr>
        <w:t>MASTER CASE STUDY</w:t>
      </w:r>
    </w:p>
    <w:p>
      <w:pPr>
        <w:spacing w:before="200"/>
        <w:jc w:val="center"/>
      </w:pPr>
      <w:r>
        <w:rPr>
          <w:b/>
          <w:color w:val="17365D"/>
          <w:sz w:val="54"/>
        </w:rPr>
        <w:t>Business Analysis Case Study</w:t>
      </w:r>
    </w:p>
    <w:p>
      <w:pPr>
        <w:jc w:val="center"/>
      </w:pPr>
      <w:r>
        <w:rPr>
          <w:color w:val="666666"/>
          <w:sz w:val="24"/>
        </w:rPr>
        <w:t>From operational analytics to an end-to-end BA portfolio engagement</w:t>
      </w:r>
    </w:p>
    <w:tbl>
      <w:tblPr>
        <w:tblW w:type="auto" w:w="0"/>
        <w:jc w:val="center"/>
        <w:tblLayout w:type="fixed"/>
        <w:tblLook w:firstColumn="1" w:firstRow="1" w:lastColumn="0" w:lastRow="0" w:noHBand="0" w:noVBand="1" w:val="04A0"/>
      </w:tblPr>
      <w:tblGrid>
        <w:gridCol w:w="9648"/>
      </w:tblGrid>
      <w:tr>
        <w:tc>
          <w:tcPr>
            <w:tcW w:type="dxa" w:w="10224"/>
            <w:shd w:fill="F3F6FA"/>
            <w:tcMar>
              <w:top w:w="140" w:type="dxa"/>
              <w:start w:w="180" w:type="dxa"/>
              <w:bottom w:w="140" w:type="dxa"/>
              <w:end w:w="180" w:type="dxa"/>
            </w:tcMar>
          </w:tcPr>
          <w:p>
            <w:pPr>
              <w:jc w:val="center"/>
            </w:pPr>
            <w:r>
              <w:rPr>
                <w:b/>
                <w:color w:val="17365D"/>
              </w:rPr>
              <w:t xml:space="preserve">Portfolio disclosure. </w:t>
            </w:r>
            <w:r>
              <w:t>This is a simulated business-analysis engagement built from public City of San Diego Get It Done data and a completed Power BI analytics project. It does not represent City employment, internal-system access, stakeholder interviews, approved requirements, or formal City acceptance.</w:t>
            </w:r>
          </w:p>
        </w:tc>
      </w:tr>
    </w:tbl>
    <w:p/>
    <w:p>
      <w:pPr>
        <w:jc w:val="center"/>
      </w:pPr>
      <w:r>
        <w:rPr>
          <w:b/>
        </w:rPr>
        <w:t>Prepared by Chase Brangham</w:t>
        <w:br/>
      </w:r>
      <w:r>
        <w:t>October 27, 2026</w:t>
      </w:r>
    </w:p>
    <w:p>
      <w:r>
        <w:br w:type="page"/>
      </w:r>
    </w:p>
    <w:tbl>
      <w:tblPr>
        <w:tblW w:type="auto" w:w="0"/>
        <w:tblLayout w:type="fixed"/>
        <w:tblLook w:firstColumn="1" w:firstRow="1" w:lastColumn="0" w:lastRow="0" w:noHBand="0" w:noVBand="1" w:val="04A0"/>
      </w:tblPr>
      <w:tblGrid>
        <w:gridCol w:w="10080"/>
      </w:tblGrid>
      <w:tr>
        <w:tc>
          <w:tcPr>
            <w:tcW w:type="dxa" w:w="10224"/>
            <w:shd w:fill="17365D"/>
            <w:tcMar>
              <w:top w:w="90" w:type="dxa"/>
              <w:start w:w="140" w:type="dxa"/>
              <w:bottom w:w="90" w:type="dxa"/>
              <w:end w:w="140" w:type="dxa"/>
            </w:tcMar>
          </w:tcPr>
          <w:p>
            <w:r>
              <w:rPr>
                <w:b/>
                <w:color w:val="FFFFFF"/>
                <w:sz w:val="24"/>
              </w:rPr>
              <w:t>Executive Summary</w:t>
            </w:r>
          </w:p>
        </w:tc>
      </w:tr>
    </w:tbl>
    <w:p>
      <w:pPr>
        <w:spacing w:after="0"/>
      </w:pPr>
    </w:p>
    <w:p>
      <w:r>
        <w:rPr>
          <w:b/>
        </w:rPr>
        <w:t xml:space="preserve">Business problem. </w:t>
      </w:r>
      <w:r>
        <w:t>Get It Done service operations generate a large volume of public service-request records across multiple service categories and council districts. The business need is not simply “a dashboard”; it is a consistent way to understand backlog size, aging, workload concentration, throughput, duplicate reporting, referral activity, and where additional operational investigation may be warranted.</w:t>
      </w:r>
    </w:p>
    <w:p>
      <w:r>
        <w:rPr>
          <w:b/>
        </w:rPr>
        <w:t xml:space="preserve">Approach. </w:t>
      </w:r>
      <w:r>
        <w:t>The companion Power BI analytics project was completed first. This case study retrospectively applies Business Analyst practices around that implemented solution: stakeholder analysis, current-state modeling, gap analysis, requirements, user stories, prioritization, KPI governance, business/data rules, traceability, UAT design, solution verification, RAID, implementation planning, and reflection.</w:t>
      </w:r>
    </w:p>
    <w:tbl>
      <w:tblPr>
        <w:tblW w:type="auto" w:w="0"/>
        <w:jc w:val="center"/>
        <w:tblLayout w:type="autofit"/>
        <w:tblLook w:firstColumn="1" w:firstRow="1" w:lastColumn="0" w:lastRow="0" w:noHBand="0" w:noVBand="1" w:val="04A0"/>
      </w:tblPr>
      <w:tblGrid>
        <w:gridCol w:w="1704"/>
        <w:gridCol w:w="1704"/>
        <w:gridCol w:w="1704"/>
        <w:gridCol w:w="1704"/>
        <w:gridCol w:w="1704"/>
        <w:gridCol w:w="1704"/>
      </w:tblGrid>
      <w:tr>
        <w:tc>
          <w:tcPr>
            <w:tcW w:type="dxa" w:w="1704"/>
            <w:shd w:fill="EEF3F8"/>
            <w:vAlign w:val="center"/>
            <w:tcMar>
              <w:top w:w="80" w:type="dxa"/>
              <w:start w:w="60" w:type="dxa"/>
              <w:bottom w:w="60" w:type="dxa"/>
              <w:end w:w="60" w:type="dxa"/>
            </w:tcMar>
          </w:tcPr>
          <w:p>
            <w:pPr>
              <w:jc w:val="center"/>
            </w:pPr>
            <w:r>
              <w:rPr>
                <w:b/>
                <w:color w:val="17365D"/>
                <w:sz w:val="30"/>
              </w:rPr>
              <w:t>800K</w:t>
            </w:r>
          </w:p>
        </w:tc>
        <w:tc>
          <w:tcPr>
            <w:tcW w:type="dxa" w:w="1704"/>
            <w:shd w:fill="EEF3F8"/>
            <w:vAlign w:val="center"/>
            <w:tcMar>
              <w:top w:w="80" w:type="dxa"/>
              <w:start w:w="60" w:type="dxa"/>
              <w:bottom w:w="60" w:type="dxa"/>
              <w:end w:w="60" w:type="dxa"/>
            </w:tcMar>
          </w:tcPr>
          <w:p>
            <w:pPr>
              <w:jc w:val="center"/>
            </w:pPr>
            <w:r>
              <w:rPr>
                <w:b/>
                <w:color w:val="17365D"/>
                <w:sz w:val="30"/>
              </w:rPr>
              <w:t>86K</w:t>
            </w:r>
          </w:p>
        </w:tc>
        <w:tc>
          <w:tcPr>
            <w:tcW w:type="dxa" w:w="1704"/>
            <w:shd w:fill="EEF3F8"/>
            <w:vAlign w:val="center"/>
            <w:tcMar>
              <w:top w:w="80" w:type="dxa"/>
              <w:start w:w="60" w:type="dxa"/>
              <w:bottom w:w="60" w:type="dxa"/>
              <w:end w:w="60" w:type="dxa"/>
            </w:tcMar>
          </w:tcPr>
          <w:p>
            <w:pPr>
              <w:jc w:val="center"/>
            </w:pPr>
            <w:r>
              <w:rPr>
                <w:b/>
                <w:color w:val="17365D"/>
                <w:sz w:val="30"/>
              </w:rPr>
              <w:t>75.1%</w:t>
            </w:r>
          </w:p>
        </w:tc>
        <w:tc>
          <w:tcPr>
            <w:tcW w:type="dxa" w:w="1704"/>
            <w:shd w:fill="EEF3F8"/>
            <w:vAlign w:val="center"/>
            <w:tcMar>
              <w:top w:w="80" w:type="dxa"/>
              <w:start w:w="60" w:type="dxa"/>
              <w:bottom w:w="60" w:type="dxa"/>
              <w:end w:w="60" w:type="dxa"/>
            </w:tcMar>
          </w:tcPr>
          <w:p>
            <w:pPr>
              <w:jc w:val="center"/>
            </w:pPr>
            <w:r>
              <w:rPr>
                <w:b/>
                <w:color w:val="17365D"/>
                <w:sz w:val="30"/>
              </w:rPr>
              <w:t>367</w:t>
            </w:r>
          </w:p>
        </w:tc>
        <w:tc>
          <w:tcPr>
            <w:tcW w:type="dxa" w:w="1704"/>
            <w:shd w:fill="EEF3F8"/>
            <w:vAlign w:val="center"/>
            <w:tcMar>
              <w:top w:w="80" w:type="dxa"/>
              <w:start w:w="60" w:type="dxa"/>
              <w:bottom w:w="60" w:type="dxa"/>
              <w:end w:w="60" w:type="dxa"/>
            </w:tcMar>
          </w:tcPr>
          <w:p>
            <w:pPr>
              <w:jc w:val="center"/>
            </w:pPr>
            <w:r>
              <w:rPr>
                <w:b/>
                <w:color w:val="17365D"/>
                <w:sz w:val="30"/>
              </w:rPr>
              <w:t>13.1%</w:t>
            </w:r>
          </w:p>
        </w:tc>
        <w:tc>
          <w:tcPr>
            <w:tcW w:type="dxa" w:w="1704"/>
            <w:shd w:fill="EEF3F8"/>
            <w:vAlign w:val="center"/>
            <w:tcMar>
              <w:top w:w="80" w:type="dxa"/>
              <w:start w:w="60" w:type="dxa"/>
              <w:bottom w:w="60" w:type="dxa"/>
              <w:end w:w="60" w:type="dxa"/>
            </w:tcMar>
          </w:tcPr>
          <w:p>
            <w:pPr>
              <w:jc w:val="center"/>
            </w:pPr>
            <w:r>
              <w:rPr>
                <w:b/>
                <w:color w:val="17365D"/>
                <w:sz w:val="30"/>
              </w:rPr>
              <w:t>6.0%</w:t>
            </w:r>
          </w:p>
        </w:tc>
      </w:tr>
      <w:tr>
        <w:tc>
          <w:tcPr>
            <w:tcW w:type="dxa" w:w="1704"/>
            <w:tcMar>
              <w:top w:w="40" w:type="dxa"/>
              <w:start w:w="50" w:type="dxa"/>
              <w:bottom w:w="70" w:type="dxa"/>
              <w:end w:w="50" w:type="dxa"/>
            </w:tcMar>
          </w:tcPr>
          <w:p>
            <w:pPr>
              <w:jc w:val="center"/>
            </w:pPr>
            <w:r>
              <w:rPr>
                <w:color w:val="666666"/>
                <w:sz w:val="15"/>
              </w:rPr>
              <w:t>Total Requests</w:t>
            </w:r>
          </w:p>
        </w:tc>
        <w:tc>
          <w:tcPr>
            <w:tcW w:type="dxa" w:w="1704"/>
            <w:tcMar>
              <w:top w:w="40" w:type="dxa"/>
              <w:start w:w="50" w:type="dxa"/>
              <w:bottom w:w="70" w:type="dxa"/>
              <w:end w:w="50" w:type="dxa"/>
            </w:tcMar>
          </w:tcPr>
          <w:p>
            <w:pPr>
              <w:jc w:val="center"/>
            </w:pPr>
            <w:r>
              <w:rPr>
                <w:color w:val="666666"/>
                <w:sz w:val="15"/>
              </w:rPr>
              <w:t>Open Backlog</w:t>
            </w:r>
          </w:p>
        </w:tc>
        <w:tc>
          <w:tcPr>
            <w:tcW w:type="dxa" w:w="1704"/>
            <w:tcMar>
              <w:top w:w="40" w:type="dxa"/>
              <w:start w:w="50" w:type="dxa"/>
              <w:bottom w:w="70" w:type="dxa"/>
              <w:end w:w="50" w:type="dxa"/>
            </w:tcMar>
          </w:tcPr>
          <w:p>
            <w:pPr>
              <w:jc w:val="center"/>
            </w:pPr>
            <w:r>
              <w:rPr>
                <w:color w:val="666666"/>
                <w:sz w:val="15"/>
              </w:rPr>
              <w:t>90+ Day Backlog Rate</w:t>
            </w:r>
          </w:p>
        </w:tc>
        <w:tc>
          <w:tcPr>
            <w:tcW w:type="dxa" w:w="1704"/>
            <w:tcMar>
              <w:top w:w="40" w:type="dxa"/>
              <w:start w:w="50" w:type="dxa"/>
              <w:bottom w:w="70" w:type="dxa"/>
              <w:end w:w="50" w:type="dxa"/>
            </w:tcMar>
          </w:tcPr>
          <w:p>
            <w:pPr>
              <w:jc w:val="center"/>
            </w:pPr>
            <w:r>
              <w:rPr>
                <w:color w:val="666666"/>
                <w:sz w:val="15"/>
              </w:rPr>
              <w:t>Median Open Case Age</w:t>
            </w:r>
          </w:p>
        </w:tc>
        <w:tc>
          <w:tcPr>
            <w:tcW w:type="dxa" w:w="1704"/>
            <w:tcMar>
              <w:top w:w="40" w:type="dxa"/>
              <w:start w:w="50" w:type="dxa"/>
              <w:bottom w:w="70" w:type="dxa"/>
              <w:end w:w="50" w:type="dxa"/>
            </w:tcMar>
          </w:tcPr>
          <w:p>
            <w:pPr>
              <w:jc w:val="center"/>
            </w:pPr>
            <w:r>
              <w:rPr>
                <w:color w:val="666666"/>
                <w:sz w:val="15"/>
              </w:rPr>
              <w:t>Duplicate Rate</w:t>
            </w:r>
          </w:p>
        </w:tc>
        <w:tc>
          <w:tcPr>
            <w:tcW w:type="dxa" w:w="1704"/>
            <w:tcMar>
              <w:top w:w="40" w:type="dxa"/>
              <w:start w:w="50" w:type="dxa"/>
              <w:bottom w:w="70" w:type="dxa"/>
              <w:end w:w="50" w:type="dxa"/>
            </w:tcMar>
          </w:tcPr>
          <w:p>
            <w:pPr>
              <w:jc w:val="center"/>
            </w:pPr>
            <w:r>
              <w:rPr>
                <w:color w:val="666666"/>
                <w:sz w:val="15"/>
              </w:rPr>
              <w:t>Referral Rate</w:t>
            </w:r>
          </w:p>
        </w:tc>
      </w:tr>
    </w:tbl>
    <w:p>
      <w:pPr>
        <w:pStyle w:val="CaseNote"/>
      </w:pPr>
      <w:r>
        <w:t>Snapshot metrics from the completed companion analytics project. They are descriptive findings from the analyzed data, not City performance targets.</w:t>
      </w:r>
    </w:p>
    <w:p>
      <w:r>
        <w:rPr>
          <w:b/>
        </w:rPr>
        <w:t xml:space="preserve">Primary conclusion. </w:t>
      </w:r>
      <w:r>
        <w:t>The portfolio evidence supports an analytics-enabled monitoring and prioritization solution, but it does not support causal claims about staffing, service quality, or why specific districts/categories have larger backlogs. Those questions require internal operational data and stakeholder/process-owner validation.</w:t>
      </w:r>
    </w:p>
    <w:tbl>
      <w:tblPr>
        <w:tblW w:type="auto" w:w="0"/>
        <w:tblLayout w:type="fixed"/>
        <w:tblLook w:firstColumn="1" w:firstRow="1" w:lastColumn="0" w:lastRow="0" w:noHBand="0" w:noVBand="1" w:val="04A0"/>
      </w:tblPr>
      <w:tblGrid>
        <w:gridCol w:w="10080"/>
      </w:tblGrid>
      <w:tr>
        <w:tc>
          <w:tcPr>
            <w:tcW w:type="dxa" w:w="10224"/>
            <w:shd w:fill="17365D"/>
            <w:tcMar>
              <w:top w:w="90" w:type="dxa"/>
              <w:start w:w="140" w:type="dxa"/>
              <w:bottom w:w="90" w:type="dxa"/>
              <w:end w:w="140" w:type="dxa"/>
            </w:tcMar>
          </w:tcPr>
          <w:p>
            <w:r>
              <w:rPr>
                <w:b/>
                <w:color w:val="FFFFFF"/>
                <w:sz w:val="24"/>
              </w:rPr>
              <w:t>1. Business Context &amp; Problem Definition</w:t>
            </w:r>
          </w:p>
        </w:tc>
      </w:tr>
    </w:tbl>
    <w:p>
      <w:pPr>
        <w:spacing w:after="0"/>
      </w:pPr>
    </w:p>
    <w:p>
      <w:pPr>
        <w:pStyle w:val="Heading2"/>
      </w:pPr>
      <w:r>
        <w:t>1.1 Business context</w:t>
      </w:r>
    </w:p>
    <w:p>
      <w:r>
        <w:t>The City of San Diego Get It Done program receives and routes reports for non-emergency problems. The public dataset includes request attributes and status information, but it explicitly does not include details of the work performed to fix a problem or a definitive physical work-completion timestamp. That evidence boundary shapes the entire case study.</w:t>
      </w:r>
    </w:p>
    <w:p>
      <w:pPr>
        <w:pStyle w:val="Heading2"/>
      </w:pPr>
      <w:r>
        <w:t>1.2 Problem statement</w:t>
      </w:r>
    </w:p>
    <w:p>
      <w:r>
        <w:t>Operational reviewers need to understand where unresolved requests are accumulating, how old the open workload is, which service categories or geographic areas are most concentrated, and whether observed intake and dispositions are moving in balance. Without a consolidated and governed analytical view, identifying priorities and communicating trends becomes more difficult.</w:t>
      </w:r>
    </w:p>
    <w:p>
      <w:pPr>
        <w:pStyle w:val="Heading2"/>
      </w:pPr>
      <w:r>
        <w:t>1.3 Scope boundaries</w:t>
      </w:r>
    </w:p>
    <w:p>
      <w:pPr>
        <w:pStyle w:val="ListBullet"/>
        <w:spacing w:after="40"/>
      </w:pPr>
      <w:r>
        <w:t>In scope: public Get It Done data used in the companion analytics project; backlog/aging; service category; council district; intake/disposition trends; duplicate/referral patterns; BA documentation and traceability.</w:t>
      </w:r>
    </w:p>
    <w:p>
      <w:pPr>
        <w:pStyle w:val="ListBullet"/>
        <w:spacing w:after="40"/>
      </w:pPr>
      <w:r>
        <w:t>Out of scope: internal City staffing, budgets, detailed work-order procedures, production implementation, approved SLAs, physical resolution verification, or claims of causal root cause.</w:t>
      </w:r>
    </w:p>
    <w:p>
      <w:pPr>
        <w:pStyle w:val="ListBullet"/>
        <w:spacing w:after="40"/>
      </w:pPr>
      <w:r>
        <w:t>The 90-day aging threshold is an analytical monitoring threshold used by the portfolio, not an asserted City-wide SLA.</w:t>
      </w:r>
    </w:p>
    <w:tbl>
      <w:tblPr>
        <w:tblW w:type="auto" w:w="0"/>
        <w:tblLayout w:type="fixed"/>
        <w:tblLook w:firstColumn="1" w:firstRow="1" w:lastColumn="0" w:lastRow="0" w:noHBand="0" w:noVBand="1" w:val="04A0"/>
      </w:tblPr>
      <w:tblGrid>
        <w:gridCol w:w="10080"/>
      </w:tblGrid>
      <w:tr>
        <w:tc>
          <w:tcPr>
            <w:tcW w:type="dxa" w:w="10224"/>
            <w:shd w:fill="17365D"/>
            <w:tcMar>
              <w:top w:w="90" w:type="dxa"/>
              <w:start w:w="140" w:type="dxa"/>
              <w:bottom w:w="90" w:type="dxa"/>
              <w:end w:w="140" w:type="dxa"/>
            </w:tcMar>
          </w:tcPr>
          <w:p>
            <w:r>
              <w:rPr>
                <w:b/>
                <w:color w:val="FFFFFF"/>
                <w:sz w:val="24"/>
              </w:rPr>
              <w:t>2. BA Approach &amp; Deliverable Strategy</w:t>
            </w:r>
          </w:p>
        </w:tc>
      </w:tr>
    </w:tbl>
    <w:p>
      <w:pPr>
        <w:spacing w:after="0"/>
      </w:pPr>
    </w:p>
    <w:p>
      <w:r>
        <w:t>The case study uses a two-layer structure. The recruiter-facing layer explains the business story from problem to recommendation. The artifact layer provides the detailed work products a BA would use to support the story.</w:t>
      </w:r>
    </w:p>
    <w:tbl>
      <w:tblPr>
        <w:tblStyle w:val="TableGrid"/>
        <w:tblW w:type="auto" w:w="0"/>
        <w:jc w:val="center"/>
        <w:tblLook w:firstColumn="1" w:firstRow="1" w:lastColumn="0" w:lastRow="0" w:noHBand="0" w:noVBand="1" w:val="04A0"/>
      </w:tblPr>
      <w:tblGrid>
        <w:gridCol w:w="3408"/>
        <w:gridCol w:w="3408"/>
        <w:gridCol w:w="3408"/>
      </w:tblGrid>
      <w:tr>
        <w:tc>
          <w:tcPr>
            <w:tcW w:type="dxa" w:w="720"/>
            <w:shd w:fill="2F5597"/>
          </w:tcPr>
          <w:p>
            <w:pPr>
              <w:jc w:val="center"/>
            </w:pPr>
            <w:r>
              <w:rPr>
                <w:b/>
                <w:color w:val="FFFFFF"/>
                <w:sz w:val="16"/>
              </w:rPr>
              <w:t>Stage</w:t>
            </w:r>
          </w:p>
        </w:tc>
        <w:tc>
          <w:tcPr>
            <w:tcW w:type="dxa" w:w="2592"/>
            <w:shd w:fill="2F5597"/>
          </w:tcPr>
          <w:p>
            <w:pPr>
              <w:jc w:val="center"/>
            </w:pPr>
            <w:r>
              <w:rPr>
                <w:b/>
                <w:color w:val="FFFFFF"/>
                <w:sz w:val="16"/>
              </w:rPr>
              <w:t>BA Work</w:t>
            </w:r>
          </w:p>
        </w:tc>
        <w:tc>
          <w:tcPr>
            <w:tcW w:type="dxa" w:w="6624"/>
            <w:shd w:fill="2F5597"/>
          </w:tcPr>
          <w:p>
            <w:pPr>
              <w:jc w:val="center"/>
            </w:pPr>
            <w:r>
              <w:rPr>
                <w:b/>
                <w:color w:val="FFFFFF"/>
                <w:sz w:val="16"/>
              </w:rPr>
              <w:t>Purpose</w:t>
            </w:r>
          </w:p>
        </w:tc>
      </w:tr>
      <w:tr>
        <w:tc>
          <w:tcPr>
            <w:tcW w:type="dxa" w:w="720"/>
            <w:vAlign w:val="top"/>
            <w:tcMar>
              <w:top w:w="80" w:type="dxa"/>
              <w:start w:w="100" w:type="dxa"/>
              <w:bottom w:w="80" w:type="dxa"/>
              <w:end w:w="100" w:type="dxa"/>
            </w:tcMar>
          </w:tcPr>
          <w:p>
            <w:r>
              <w:rPr>
                <w:sz w:val="16"/>
              </w:rPr>
              <w:t>1</w:t>
            </w:r>
          </w:p>
        </w:tc>
        <w:tc>
          <w:tcPr>
            <w:tcW w:type="dxa" w:w="2592"/>
            <w:vAlign w:val="top"/>
            <w:tcMar>
              <w:top w:w="80" w:type="dxa"/>
              <w:start w:w="100" w:type="dxa"/>
              <w:bottom w:w="80" w:type="dxa"/>
              <w:end w:w="100" w:type="dxa"/>
            </w:tcMar>
          </w:tcPr>
          <w:p>
            <w:r>
              <w:rPr>
                <w:sz w:val="16"/>
              </w:rPr>
              <w:t>Problem &amp; Scope</w:t>
            </w:r>
          </w:p>
        </w:tc>
        <w:tc>
          <w:tcPr>
            <w:tcW w:type="dxa" w:w="6624"/>
            <w:vAlign w:val="top"/>
            <w:tcMar>
              <w:top w:w="80" w:type="dxa"/>
              <w:start w:w="100" w:type="dxa"/>
              <w:bottom w:w="80" w:type="dxa"/>
              <w:end w:w="100" w:type="dxa"/>
            </w:tcMar>
          </w:tcPr>
          <w:p>
            <w:r>
              <w:rPr>
                <w:sz w:val="16"/>
              </w:rPr>
              <w:t>Define the business problem before proposing the solution.</w:t>
            </w:r>
          </w:p>
        </w:tc>
      </w:tr>
      <w:tr>
        <w:tc>
          <w:tcPr>
            <w:tcW w:type="dxa" w:w="720"/>
            <w:vAlign w:val="top"/>
            <w:tcMar>
              <w:top w:w="80" w:type="dxa"/>
              <w:start w:w="100" w:type="dxa"/>
              <w:bottom w:w="80" w:type="dxa"/>
              <w:end w:w="100" w:type="dxa"/>
            </w:tcMar>
          </w:tcPr>
          <w:p>
            <w:r>
              <w:rPr>
                <w:sz w:val="16"/>
              </w:rPr>
              <w:t>2</w:t>
            </w:r>
          </w:p>
        </w:tc>
        <w:tc>
          <w:tcPr>
            <w:tcW w:type="dxa" w:w="2592"/>
            <w:vAlign w:val="top"/>
            <w:tcMar>
              <w:top w:w="80" w:type="dxa"/>
              <w:start w:w="100" w:type="dxa"/>
              <w:bottom w:w="80" w:type="dxa"/>
              <w:end w:w="100" w:type="dxa"/>
            </w:tcMar>
          </w:tcPr>
          <w:p>
            <w:r>
              <w:rPr>
                <w:sz w:val="16"/>
              </w:rPr>
              <w:t>Stakeholders</w:t>
            </w:r>
          </w:p>
        </w:tc>
        <w:tc>
          <w:tcPr>
            <w:tcW w:type="dxa" w:w="6624"/>
            <w:vAlign w:val="top"/>
            <w:tcMar>
              <w:top w:w="80" w:type="dxa"/>
              <w:start w:w="100" w:type="dxa"/>
              <w:bottom w:w="80" w:type="dxa"/>
              <w:end w:w="100" w:type="dxa"/>
            </w:tcMar>
          </w:tcPr>
          <w:p>
            <w:r>
              <w:rPr>
                <w:sz w:val="16"/>
              </w:rPr>
              <w:t>Identify who needs what information and how they would be engaged.</w:t>
            </w:r>
          </w:p>
        </w:tc>
      </w:tr>
      <w:tr>
        <w:tc>
          <w:tcPr>
            <w:tcW w:type="dxa" w:w="720"/>
            <w:vAlign w:val="top"/>
            <w:tcMar>
              <w:top w:w="80" w:type="dxa"/>
              <w:start w:w="100" w:type="dxa"/>
              <w:bottom w:w="80" w:type="dxa"/>
              <w:end w:w="100" w:type="dxa"/>
            </w:tcMar>
          </w:tcPr>
          <w:p>
            <w:r>
              <w:rPr>
                <w:sz w:val="16"/>
              </w:rPr>
              <w:t>3</w:t>
            </w:r>
          </w:p>
        </w:tc>
        <w:tc>
          <w:tcPr>
            <w:tcW w:type="dxa" w:w="2592"/>
            <w:vAlign w:val="top"/>
            <w:tcMar>
              <w:top w:w="80" w:type="dxa"/>
              <w:start w:w="100" w:type="dxa"/>
              <w:bottom w:w="80" w:type="dxa"/>
              <w:end w:w="100" w:type="dxa"/>
            </w:tcMar>
          </w:tcPr>
          <w:p>
            <w:r>
              <w:rPr>
                <w:sz w:val="16"/>
              </w:rPr>
              <w:t>Current State</w:t>
            </w:r>
          </w:p>
        </w:tc>
        <w:tc>
          <w:tcPr>
            <w:tcW w:type="dxa" w:w="6624"/>
            <w:vAlign w:val="top"/>
            <w:tcMar>
              <w:top w:w="80" w:type="dxa"/>
              <w:start w:w="100" w:type="dxa"/>
              <w:bottom w:w="80" w:type="dxa"/>
              <w:end w:w="100" w:type="dxa"/>
            </w:tcMar>
          </w:tcPr>
          <w:p>
            <w:r>
              <w:rPr>
                <w:sz w:val="16"/>
              </w:rPr>
              <w:t>Model the public request lifecycle and document observed operational signals.</w:t>
            </w:r>
          </w:p>
        </w:tc>
      </w:tr>
      <w:tr>
        <w:tc>
          <w:tcPr>
            <w:tcW w:type="dxa" w:w="720"/>
            <w:vAlign w:val="top"/>
            <w:tcMar>
              <w:top w:w="80" w:type="dxa"/>
              <w:start w:w="100" w:type="dxa"/>
              <w:bottom w:w="80" w:type="dxa"/>
              <w:end w:w="100" w:type="dxa"/>
            </w:tcMar>
          </w:tcPr>
          <w:p>
            <w:r>
              <w:rPr>
                <w:sz w:val="16"/>
              </w:rPr>
              <w:t>4</w:t>
            </w:r>
          </w:p>
        </w:tc>
        <w:tc>
          <w:tcPr>
            <w:tcW w:type="dxa" w:w="2592"/>
            <w:vAlign w:val="top"/>
            <w:tcMar>
              <w:top w:w="80" w:type="dxa"/>
              <w:start w:w="100" w:type="dxa"/>
              <w:bottom w:w="80" w:type="dxa"/>
              <w:end w:w="100" w:type="dxa"/>
            </w:tcMar>
          </w:tcPr>
          <w:p>
            <w:r>
              <w:rPr>
                <w:sz w:val="16"/>
              </w:rPr>
              <w:t>Gap Analysis</w:t>
            </w:r>
          </w:p>
        </w:tc>
        <w:tc>
          <w:tcPr>
            <w:tcW w:type="dxa" w:w="6624"/>
            <w:vAlign w:val="top"/>
            <w:tcMar>
              <w:top w:w="80" w:type="dxa"/>
              <w:start w:w="100" w:type="dxa"/>
              <w:bottom w:w="80" w:type="dxa"/>
              <w:end w:w="100" w:type="dxa"/>
            </w:tcMar>
          </w:tcPr>
          <w:p>
            <w:r>
              <w:rPr>
                <w:sz w:val="16"/>
              </w:rPr>
              <w:t>Translate observed conditions into needs/capabilities.</w:t>
            </w:r>
          </w:p>
        </w:tc>
      </w:tr>
      <w:tr>
        <w:tc>
          <w:tcPr>
            <w:tcW w:type="dxa" w:w="720"/>
            <w:vAlign w:val="top"/>
            <w:tcMar>
              <w:top w:w="80" w:type="dxa"/>
              <w:start w:w="100" w:type="dxa"/>
              <w:bottom w:w="80" w:type="dxa"/>
              <w:end w:w="100" w:type="dxa"/>
            </w:tcMar>
          </w:tcPr>
          <w:p>
            <w:r>
              <w:rPr>
                <w:sz w:val="16"/>
              </w:rPr>
              <w:t>5</w:t>
            </w:r>
          </w:p>
        </w:tc>
        <w:tc>
          <w:tcPr>
            <w:tcW w:type="dxa" w:w="2592"/>
            <w:vAlign w:val="top"/>
            <w:tcMar>
              <w:top w:w="80" w:type="dxa"/>
              <w:start w:w="100" w:type="dxa"/>
              <w:bottom w:w="80" w:type="dxa"/>
              <w:end w:w="100" w:type="dxa"/>
            </w:tcMar>
          </w:tcPr>
          <w:p>
            <w:r>
              <w:rPr>
                <w:sz w:val="16"/>
              </w:rPr>
              <w:t>Requirements</w:t>
            </w:r>
          </w:p>
        </w:tc>
        <w:tc>
          <w:tcPr>
            <w:tcW w:type="dxa" w:w="6624"/>
            <w:vAlign w:val="top"/>
            <w:tcMar>
              <w:top w:w="80" w:type="dxa"/>
              <w:start w:w="100" w:type="dxa"/>
              <w:bottom w:w="80" w:type="dxa"/>
              <w:end w:w="100" w:type="dxa"/>
            </w:tcMar>
          </w:tcPr>
          <w:p>
            <w:r>
              <w:rPr>
                <w:sz w:val="16"/>
              </w:rPr>
              <w:t>Define business, functional, and non-functional requirements.</w:t>
            </w:r>
          </w:p>
        </w:tc>
      </w:tr>
      <w:tr>
        <w:tc>
          <w:tcPr>
            <w:tcW w:type="dxa" w:w="720"/>
            <w:vAlign w:val="top"/>
            <w:tcMar>
              <w:top w:w="80" w:type="dxa"/>
              <w:start w:w="100" w:type="dxa"/>
              <w:bottom w:w="80" w:type="dxa"/>
              <w:end w:w="100" w:type="dxa"/>
            </w:tcMar>
          </w:tcPr>
          <w:p>
            <w:r>
              <w:rPr>
                <w:sz w:val="16"/>
              </w:rPr>
              <w:t>6</w:t>
            </w:r>
          </w:p>
        </w:tc>
        <w:tc>
          <w:tcPr>
            <w:tcW w:type="dxa" w:w="2592"/>
            <w:vAlign w:val="top"/>
            <w:tcMar>
              <w:top w:w="80" w:type="dxa"/>
              <w:start w:w="100" w:type="dxa"/>
              <w:bottom w:w="80" w:type="dxa"/>
              <w:end w:w="100" w:type="dxa"/>
            </w:tcMar>
          </w:tcPr>
          <w:p>
            <w:r>
              <w:rPr>
                <w:sz w:val="16"/>
              </w:rPr>
              <w:t>Agile Translation</w:t>
            </w:r>
          </w:p>
        </w:tc>
        <w:tc>
          <w:tcPr>
            <w:tcW w:type="dxa" w:w="6624"/>
            <w:vAlign w:val="top"/>
            <w:tcMar>
              <w:top w:w="80" w:type="dxa"/>
              <w:start w:w="100" w:type="dxa"/>
              <w:bottom w:w="80" w:type="dxa"/>
              <w:end w:w="100" w:type="dxa"/>
            </w:tcMar>
          </w:tcPr>
          <w:p>
            <w:r>
              <w:rPr>
                <w:sz w:val="16"/>
              </w:rPr>
              <w:t>Express selected requirements as user stories and acceptance criteria.</w:t>
            </w:r>
          </w:p>
        </w:tc>
      </w:tr>
      <w:tr>
        <w:tc>
          <w:tcPr>
            <w:tcW w:type="dxa" w:w="720"/>
            <w:vAlign w:val="top"/>
            <w:tcMar>
              <w:top w:w="80" w:type="dxa"/>
              <w:start w:w="100" w:type="dxa"/>
              <w:bottom w:w="80" w:type="dxa"/>
              <w:end w:w="100" w:type="dxa"/>
            </w:tcMar>
          </w:tcPr>
          <w:p>
            <w:r>
              <w:rPr>
                <w:sz w:val="16"/>
              </w:rPr>
              <w:t>7</w:t>
            </w:r>
          </w:p>
        </w:tc>
        <w:tc>
          <w:tcPr>
            <w:tcW w:type="dxa" w:w="2592"/>
            <w:vAlign w:val="top"/>
            <w:tcMar>
              <w:top w:w="80" w:type="dxa"/>
              <w:start w:w="100" w:type="dxa"/>
              <w:bottom w:w="80" w:type="dxa"/>
              <w:end w:w="100" w:type="dxa"/>
            </w:tcMar>
          </w:tcPr>
          <w:p>
            <w:r>
              <w:rPr>
                <w:sz w:val="16"/>
              </w:rPr>
              <w:t>Governance</w:t>
            </w:r>
          </w:p>
        </w:tc>
        <w:tc>
          <w:tcPr>
            <w:tcW w:type="dxa" w:w="6624"/>
            <w:vAlign w:val="top"/>
            <w:tcMar>
              <w:top w:w="80" w:type="dxa"/>
              <w:start w:w="100" w:type="dxa"/>
              <w:bottom w:w="80" w:type="dxa"/>
              <w:end w:w="100" w:type="dxa"/>
            </w:tcMar>
          </w:tcPr>
          <w:p>
            <w:r>
              <w:rPr>
                <w:sz w:val="16"/>
              </w:rPr>
              <w:t>Define KPIs, fields, business rules, data rules, and priorities.</w:t>
            </w:r>
          </w:p>
        </w:tc>
      </w:tr>
      <w:tr>
        <w:tc>
          <w:tcPr>
            <w:tcW w:type="dxa" w:w="720"/>
            <w:vAlign w:val="top"/>
            <w:tcMar>
              <w:top w:w="80" w:type="dxa"/>
              <w:start w:w="100" w:type="dxa"/>
              <w:bottom w:w="80" w:type="dxa"/>
              <w:end w:w="100" w:type="dxa"/>
            </w:tcMar>
          </w:tcPr>
          <w:p>
            <w:r>
              <w:rPr>
                <w:sz w:val="16"/>
              </w:rPr>
              <w:t>8</w:t>
            </w:r>
          </w:p>
        </w:tc>
        <w:tc>
          <w:tcPr>
            <w:tcW w:type="dxa" w:w="2592"/>
            <w:vAlign w:val="top"/>
            <w:tcMar>
              <w:top w:w="80" w:type="dxa"/>
              <w:start w:w="100" w:type="dxa"/>
              <w:bottom w:w="80" w:type="dxa"/>
              <w:end w:w="100" w:type="dxa"/>
            </w:tcMar>
          </w:tcPr>
          <w:p>
            <w:r>
              <w:rPr>
                <w:sz w:val="16"/>
              </w:rPr>
              <w:t>Future State</w:t>
            </w:r>
          </w:p>
        </w:tc>
        <w:tc>
          <w:tcPr>
            <w:tcW w:type="dxa" w:w="6624"/>
            <w:vAlign w:val="top"/>
            <w:tcMar>
              <w:top w:w="80" w:type="dxa"/>
              <w:start w:w="100" w:type="dxa"/>
              <w:bottom w:w="80" w:type="dxa"/>
              <w:end w:w="100" w:type="dxa"/>
            </w:tcMar>
          </w:tcPr>
          <w:p>
            <w:r>
              <w:rPr>
                <w:sz w:val="16"/>
              </w:rPr>
              <w:t>Show the proposed analytics-supported monitoring layer.</w:t>
            </w:r>
          </w:p>
        </w:tc>
      </w:tr>
      <w:tr>
        <w:tc>
          <w:tcPr>
            <w:tcW w:type="dxa" w:w="720"/>
            <w:vAlign w:val="top"/>
            <w:tcMar>
              <w:top w:w="80" w:type="dxa"/>
              <w:start w:w="100" w:type="dxa"/>
              <w:bottom w:w="80" w:type="dxa"/>
              <w:end w:w="100" w:type="dxa"/>
            </w:tcMar>
          </w:tcPr>
          <w:p>
            <w:r>
              <w:rPr>
                <w:sz w:val="16"/>
              </w:rPr>
              <w:t>9</w:t>
            </w:r>
          </w:p>
        </w:tc>
        <w:tc>
          <w:tcPr>
            <w:tcW w:type="dxa" w:w="2592"/>
            <w:vAlign w:val="top"/>
            <w:tcMar>
              <w:top w:w="80" w:type="dxa"/>
              <w:start w:w="100" w:type="dxa"/>
              <w:bottom w:w="80" w:type="dxa"/>
              <w:end w:w="100" w:type="dxa"/>
            </w:tcMar>
          </w:tcPr>
          <w:p>
            <w:r>
              <w:rPr>
                <w:sz w:val="16"/>
              </w:rPr>
              <w:t>Traceability &amp; Testing</w:t>
            </w:r>
          </w:p>
        </w:tc>
        <w:tc>
          <w:tcPr>
            <w:tcW w:type="dxa" w:w="6624"/>
            <w:vAlign w:val="top"/>
            <w:tcMar>
              <w:top w:w="80" w:type="dxa"/>
              <w:start w:w="100" w:type="dxa"/>
              <w:bottom w:w="80" w:type="dxa"/>
              <w:end w:w="100" w:type="dxa"/>
            </w:tcMar>
          </w:tcPr>
          <w:p>
            <w:r>
              <w:rPr>
                <w:sz w:val="16"/>
              </w:rPr>
              <w:t>Link requirements to capabilities, verification, and planned UAT.</w:t>
            </w:r>
          </w:p>
        </w:tc>
      </w:tr>
      <w:tr>
        <w:tc>
          <w:tcPr>
            <w:tcW w:type="dxa" w:w="720"/>
            <w:vAlign w:val="top"/>
            <w:tcMar>
              <w:top w:w="80" w:type="dxa"/>
              <w:start w:w="100" w:type="dxa"/>
              <w:bottom w:w="80" w:type="dxa"/>
              <w:end w:w="100" w:type="dxa"/>
            </w:tcMar>
          </w:tcPr>
          <w:p>
            <w:r>
              <w:rPr>
                <w:sz w:val="16"/>
              </w:rPr>
              <w:t>10</w:t>
            </w:r>
          </w:p>
        </w:tc>
        <w:tc>
          <w:tcPr>
            <w:tcW w:type="dxa" w:w="2592"/>
            <w:vAlign w:val="top"/>
            <w:tcMar>
              <w:top w:w="80" w:type="dxa"/>
              <w:start w:w="100" w:type="dxa"/>
              <w:bottom w:w="80" w:type="dxa"/>
              <w:end w:w="100" w:type="dxa"/>
            </w:tcMar>
          </w:tcPr>
          <w:p>
            <w:r>
              <w:rPr>
                <w:sz w:val="16"/>
              </w:rPr>
              <w:t>Implementation &amp; Reflection</w:t>
            </w:r>
          </w:p>
        </w:tc>
        <w:tc>
          <w:tcPr>
            <w:tcW w:type="dxa" w:w="6624"/>
            <w:vAlign w:val="top"/>
            <w:tcMar>
              <w:top w:w="80" w:type="dxa"/>
              <w:start w:w="100" w:type="dxa"/>
              <w:bottom w:w="80" w:type="dxa"/>
              <w:end w:w="100" w:type="dxa"/>
            </w:tcMar>
          </w:tcPr>
          <w:p>
            <w:r>
              <w:rPr>
                <w:sz w:val="16"/>
              </w:rPr>
              <w:t>Plan adoption/change and identify what would differ in a live engagement.</w:t>
            </w:r>
          </w:p>
        </w:tc>
      </w:tr>
    </w:tbl>
    <w:p>
      <w:pPr>
        <w:pStyle w:val="CaseNote"/>
      </w:pPr>
      <w:r>
        <w:t>Because the dashboard existed before this BA extension, requirements are explicitly labeled Reconstructed or Proposed rather than presented as stakeholder-approved pre-build requirements.</w:t>
      </w:r>
    </w:p>
    <w:p>
      <w:pPr>
        <w:spacing w:before="0" w:after="0"/>
      </w:pPr>
      <w:r>
        <w:br w:type="page"/>
      </w:r>
    </w:p>
    <w:tbl>
      <w:tblPr>
        <w:tblW w:type="auto" w:w="0"/>
        <w:tblLayout w:type="fixed"/>
        <w:tblLook w:firstColumn="1" w:firstRow="1" w:lastColumn="0" w:lastRow="0" w:noHBand="0" w:noVBand="1" w:val="04A0"/>
      </w:tblPr>
      <w:tblGrid>
        <w:gridCol w:w="10080"/>
      </w:tblGrid>
      <w:tr>
        <w:trPr>
          <w:cantSplit/>
        </w:trPr>
        <w:tc>
          <w:tcPr>
            <w:tcW w:type="dxa" w:w="10224"/>
            <w:shd w:fill="17365D"/>
            <w:tcMar>
              <w:top w:w="90" w:type="dxa"/>
              <w:start w:w="140" w:type="dxa"/>
              <w:bottom w:w="90" w:type="dxa"/>
              <w:end w:w="140" w:type="dxa"/>
            </w:tcMar>
          </w:tcPr>
          <w:p>
            <w:pPr>
              <w:keepNext/>
            </w:pPr>
            <w:r>
              <w:rPr>
                <w:b/>
                <w:color w:val="FFFFFF"/>
                <w:sz w:val="24"/>
              </w:rPr>
              <w:t>3. Current-State Analysis</w:t>
            </w:r>
          </w:p>
        </w:tc>
      </w:tr>
    </w:tbl>
    <w:p>
      <w:pPr>
        <w:spacing w:after="0"/>
      </w:pPr>
    </w:p>
    <w:p>
      <w:pPr>
        <w:pStyle w:val="Heading2"/>
        <w:keepNext/>
      </w:pPr>
      <w:r/>
      <w:r>
        <w:t>3.1 Current-State Process Map</w:t>
      </w:r>
    </w:p>
    <w:p>
      <w:pPr>
        <w:spacing w:before="0" w:after="0"/>
        <w:jc w:val="center"/>
      </w:pPr>
      <w:r>
        <w:drawing>
          <wp:inline xmlns:a="http://schemas.openxmlformats.org/drawingml/2006/main" xmlns:pic="http://schemas.openxmlformats.org/drawingml/2006/picture">
            <wp:extent cx="6144768" cy="2797576"/>
            <wp:docPr id="7" name="Picture 7"/>
            <wp:cNvGraphicFramePr>
              <a:graphicFrameLocks noChangeAspect="1"/>
            </wp:cNvGraphicFramePr>
            <a:graphic>
              <a:graphicData uri="http://schemas.openxmlformats.org/drawingml/2006/picture">
                <pic:pic>
                  <pic:nvPicPr>
                    <pic:cNvPr id="0" name="3.1_Current_State_Process_Map_FINAL_Readable.png"/>
                    <pic:cNvPicPr/>
                  </pic:nvPicPr>
                  <pic:blipFill>
                    <a:blip r:embed="rId27"/>
                    <a:stretch>
                      <a:fillRect/>
                    </a:stretch>
                  </pic:blipFill>
                  <pic:spPr>
                    <a:xfrm>
                      <a:off x="0" y="0"/>
                      <a:ext cx="6144768" cy="2797576"/>
                    </a:xfrm>
                    <a:prstGeom prst="rect"/>
                  </pic:spPr>
                </pic:pic>
              </a:graphicData>
            </a:graphic>
          </wp:inline>
        </w:drawing>
      </w:r>
    </w:p>
    <w:p>
      <w:pPr>
        <w:pStyle w:val="CaseNote"/>
      </w:pPr>
      <w:r>
        <w:t>The process map is intentionally high-level and public-information-based. Internal departmental work-order procedures and SLAs are not asserted.</w:t>
      </w:r>
    </w:p>
    <w:p>
      <w:pPr>
        <w:pStyle w:val="Heading2"/>
      </w:pPr>
      <w:r>
        <w:t>3.2 Observed operational signals</w:t>
      </w:r>
    </w:p>
    <w:p>
      <w:pPr>
        <w:pStyle w:val="ListBullet"/>
        <w:spacing w:after="40"/>
      </w:pPr>
      <w:r>
        <w:t>Approximately 86K requests remain open in the analyzed snapshot; about 65K are aged 90+ days, producing a 75.1% 90+ day backlog rate.</w:t>
      </w:r>
    </w:p>
    <w:p>
      <w:pPr>
        <w:pStyle w:val="ListBullet"/>
        <w:spacing w:after="40"/>
      </w:pPr>
      <w:r>
        <w:t>Median open-request age is approximately 367 days.</w:t>
      </w:r>
    </w:p>
    <w:p>
      <w:pPr>
        <w:pStyle w:val="ListBullet"/>
        <w:spacing w:after="40"/>
      </w:pPr>
      <w:r>
        <w:t>Sidewalk Repair Issues and Street Light Maintenance each contribute about 14.8K open requests; ROW Maintenance contributes about 10.6K.</w:t>
      </w:r>
    </w:p>
    <w:p>
      <w:pPr>
        <w:pStyle w:val="ListBullet"/>
        <w:spacing w:after="40"/>
      </w:pPr>
      <w:r>
        <w:t>Council District 3 has the largest observed open backlog at roughly 19.2K requests.</w:t>
      </w:r>
    </w:p>
    <w:p>
      <w:pPr>
        <w:pStyle w:val="ListBullet"/>
        <w:spacing w:after="40"/>
      </w:pPr>
      <w:r>
        <w:t>Duplicate reporting is approximately 13.1% overall; Street Light Maintenance is about 41.3% and Encampment about 28.6% among high-volume categories.</w:t>
      </w:r>
    </w:p>
    <w:p>
      <w:pPr>
        <w:pStyle w:val="ListBullet"/>
        <w:spacing w:after="40"/>
      </w:pPr>
      <w:r>
        <w:t>Referral activity is approximately 6.0%. The public documentation states referred reports can leave Get It Done visibility.</w:t>
      </w:r>
    </w:p>
    <w:p>
      <w:pPr>
        <w:pStyle w:val="ListBullet"/>
        <w:spacing w:after="40"/>
      </w:pPr>
      <w:r>
        <w:t>Monthly intake often exceeds monthly dispositions, while some periods show the reverse, making Net Request Flow useful for directional monitoring.</w:t>
      </w:r>
    </w:p>
    <w:p>
      <w:pPr>
        <w:pStyle w:val="Heading2"/>
      </w:pPr>
      <w:r>
        <w:t>3.3 Gap analysis</w:t>
      </w:r>
    </w:p>
    <w:tbl>
      <w:tblPr>
        <w:tblStyle w:val="TableGrid"/>
        <w:tblW w:type="auto" w:w="0"/>
        <w:jc w:val="center"/>
        <w:tblLook w:firstColumn="1" w:firstRow="1" w:lastColumn="0" w:lastRow="0" w:noHBand="0" w:noVBand="1" w:val="04A0"/>
      </w:tblPr>
      <w:tblGrid>
        <w:gridCol w:w="3408"/>
        <w:gridCol w:w="3408"/>
        <w:gridCol w:w="3408"/>
      </w:tblGrid>
      <w:tr>
        <w:tc>
          <w:tcPr>
            <w:tcW w:type="dxa" w:w="3888"/>
            <w:shd w:fill="2F5597"/>
          </w:tcPr>
          <w:p>
            <w:pPr>
              <w:jc w:val="center"/>
            </w:pPr>
            <w:r>
              <w:rPr>
                <w:b/>
                <w:color w:val="FFFFFF"/>
                <w:sz w:val="16"/>
              </w:rPr>
              <w:t>Current-State Gap</w:t>
            </w:r>
          </w:p>
        </w:tc>
        <w:tc>
          <w:tcPr>
            <w:tcW w:type="dxa" w:w="4464"/>
            <w:shd w:fill="2F5597"/>
          </w:tcPr>
          <w:p>
            <w:pPr>
              <w:jc w:val="center"/>
            </w:pPr>
            <w:r>
              <w:rPr>
                <w:b/>
                <w:color w:val="FFFFFF"/>
                <w:sz w:val="16"/>
              </w:rPr>
              <w:t>Desired Capability</w:t>
            </w:r>
          </w:p>
        </w:tc>
        <w:tc>
          <w:tcPr>
            <w:tcW w:type="dxa" w:w="1872"/>
            <w:shd w:fill="2F5597"/>
          </w:tcPr>
          <w:p>
            <w:pPr>
              <w:jc w:val="center"/>
            </w:pPr>
            <w:r>
              <w:rPr>
                <w:b/>
                <w:color w:val="FFFFFF"/>
                <w:sz w:val="16"/>
              </w:rPr>
              <w:t>Traceability</w:t>
            </w:r>
          </w:p>
        </w:tc>
      </w:tr>
      <w:tr>
        <w:tc>
          <w:tcPr>
            <w:tcW w:type="dxa" w:w="3888"/>
            <w:vAlign w:val="top"/>
            <w:tcMar>
              <w:top w:w="80" w:type="dxa"/>
              <w:start w:w="100" w:type="dxa"/>
              <w:bottom w:w="80" w:type="dxa"/>
              <w:end w:w="100" w:type="dxa"/>
            </w:tcMar>
          </w:tcPr>
          <w:p>
            <w:r>
              <w:rPr>
                <w:sz w:val="16"/>
              </w:rPr>
              <w:t>Fragmented analytical sources</w:t>
            </w:r>
          </w:p>
        </w:tc>
        <w:tc>
          <w:tcPr>
            <w:tcW w:type="dxa" w:w="4464"/>
            <w:vAlign w:val="top"/>
            <w:tcMar>
              <w:top w:w="80" w:type="dxa"/>
              <w:start w:w="100" w:type="dxa"/>
              <w:bottom w:w="80" w:type="dxa"/>
              <w:end w:w="100" w:type="dxa"/>
            </w:tcMar>
          </w:tcPr>
          <w:p>
            <w:r>
              <w:rPr>
                <w:sz w:val="16"/>
              </w:rPr>
              <w:t>Consolidated reporting model</w:t>
            </w:r>
          </w:p>
        </w:tc>
        <w:tc>
          <w:tcPr>
            <w:tcW w:type="dxa" w:w="1872"/>
            <w:vAlign w:val="top"/>
            <w:tcMar>
              <w:top w:w="80" w:type="dxa"/>
              <w:start w:w="100" w:type="dxa"/>
              <w:bottom w:w="80" w:type="dxa"/>
              <w:end w:w="100" w:type="dxa"/>
            </w:tcMar>
          </w:tcPr>
          <w:p>
            <w:r>
              <w:rPr>
                <w:sz w:val="16"/>
              </w:rPr>
              <w:t>FR-01</w:t>
            </w:r>
          </w:p>
        </w:tc>
      </w:tr>
      <w:tr>
        <w:tc>
          <w:tcPr>
            <w:tcW w:type="dxa" w:w="3888"/>
            <w:vAlign w:val="top"/>
            <w:tcMar>
              <w:top w:w="80" w:type="dxa"/>
              <w:start w:w="100" w:type="dxa"/>
              <w:bottom w:w="80" w:type="dxa"/>
              <w:end w:w="100" w:type="dxa"/>
            </w:tcMar>
          </w:tcPr>
          <w:p>
            <w:r>
              <w:rPr>
                <w:sz w:val="16"/>
              </w:rPr>
              <w:t>Aging severity not obvious from total volume</w:t>
            </w:r>
          </w:p>
        </w:tc>
        <w:tc>
          <w:tcPr>
            <w:tcW w:type="dxa" w:w="4464"/>
            <w:vAlign w:val="top"/>
            <w:tcMar>
              <w:top w:w="80" w:type="dxa"/>
              <w:start w:w="100" w:type="dxa"/>
              <w:bottom w:w="80" w:type="dxa"/>
              <w:end w:w="100" w:type="dxa"/>
            </w:tcMar>
          </w:tcPr>
          <w:p>
            <w:r>
              <w:rPr>
                <w:sz w:val="16"/>
              </w:rPr>
              <w:t>Aging KPIs and age buckets</w:t>
            </w:r>
          </w:p>
        </w:tc>
        <w:tc>
          <w:tcPr>
            <w:tcW w:type="dxa" w:w="1872"/>
            <w:vAlign w:val="top"/>
            <w:tcMar>
              <w:top w:w="80" w:type="dxa"/>
              <w:start w:w="100" w:type="dxa"/>
              <w:bottom w:w="80" w:type="dxa"/>
              <w:end w:w="100" w:type="dxa"/>
            </w:tcMar>
          </w:tcPr>
          <w:p>
            <w:r>
              <w:rPr>
                <w:sz w:val="16"/>
              </w:rPr>
              <w:t>BR-02 / FR-03</w:t>
            </w:r>
          </w:p>
        </w:tc>
      </w:tr>
      <w:tr>
        <w:tc>
          <w:tcPr>
            <w:tcW w:type="dxa" w:w="3888"/>
            <w:vAlign w:val="top"/>
            <w:tcMar>
              <w:top w:w="80" w:type="dxa"/>
              <w:start w:w="100" w:type="dxa"/>
              <w:bottom w:w="80" w:type="dxa"/>
              <w:end w:w="100" w:type="dxa"/>
            </w:tcMar>
          </w:tcPr>
          <w:p>
            <w:r>
              <w:rPr>
                <w:sz w:val="16"/>
              </w:rPr>
              <w:t>Category/geographic concentrations require grouping</w:t>
            </w:r>
          </w:p>
        </w:tc>
        <w:tc>
          <w:tcPr>
            <w:tcW w:type="dxa" w:w="4464"/>
            <w:vAlign w:val="top"/>
            <w:tcMar>
              <w:top w:w="80" w:type="dxa"/>
              <w:start w:w="100" w:type="dxa"/>
              <w:bottom w:w="80" w:type="dxa"/>
              <w:end w:w="100" w:type="dxa"/>
            </w:tcMar>
          </w:tcPr>
          <w:p>
            <w:r>
              <w:rPr>
                <w:sz w:val="16"/>
              </w:rPr>
              <w:t>Service type and district comparisons</w:t>
            </w:r>
          </w:p>
        </w:tc>
        <w:tc>
          <w:tcPr>
            <w:tcW w:type="dxa" w:w="1872"/>
            <w:vAlign w:val="top"/>
            <w:tcMar>
              <w:top w:w="80" w:type="dxa"/>
              <w:start w:w="100" w:type="dxa"/>
              <w:bottom w:w="80" w:type="dxa"/>
              <w:end w:w="100" w:type="dxa"/>
            </w:tcMar>
          </w:tcPr>
          <w:p>
            <w:r>
              <w:rPr>
                <w:sz w:val="16"/>
              </w:rPr>
              <w:t>BR-03 / BR-04</w:t>
            </w:r>
          </w:p>
        </w:tc>
      </w:tr>
      <w:tr>
        <w:tc>
          <w:tcPr>
            <w:tcW w:type="dxa" w:w="3888"/>
            <w:vAlign w:val="top"/>
            <w:tcMar>
              <w:top w:w="80" w:type="dxa"/>
              <w:start w:w="100" w:type="dxa"/>
              <w:bottom w:w="80" w:type="dxa"/>
              <w:end w:w="100" w:type="dxa"/>
            </w:tcMar>
          </w:tcPr>
          <w:p>
            <w:r>
              <w:rPr>
                <w:sz w:val="16"/>
              </w:rPr>
              <w:t>Static backlog does not show direction</w:t>
            </w:r>
          </w:p>
        </w:tc>
        <w:tc>
          <w:tcPr>
            <w:tcW w:type="dxa" w:w="4464"/>
            <w:vAlign w:val="top"/>
            <w:tcMar>
              <w:top w:w="80" w:type="dxa"/>
              <w:start w:w="100" w:type="dxa"/>
              <w:bottom w:w="80" w:type="dxa"/>
              <w:end w:w="100" w:type="dxa"/>
            </w:tcMar>
          </w:tcPr>
          <w:p>
            <w:r>
              <w:rPr>
                <w:sz w:val="16"/>
              </w:rPr>
              <w:t>Requests vs dispositions + Net Flow</w:t>
            </w:r>
          </w:p>
        </w:tc>
        <w:tc>
          <w:tcPr>
            <w:tcW w:type="dxa" w:w="1872"/>
            <w:vAlign w:val="top"/>
            <w:tcMar>
              <w:top w:w="80" w:type="dxa"/>
              <w:start w:w="100" w:type="dxa"/>
              <w:bottom w:w="80" w:type="dxa"/>
              <w:end w:w="100" w:type="dxa"/>
            </w:tcMar>
          </w:tcPr>
          <w:p>
            <w:r>
              <w:rPr>
                <w:sz w:val="16"/>
              </w:rPr>
              <w:t>BR-05</w:t>
            </w:r>
          </w:p>
        </w:tc>
      </w:tr>
      <w:tr>
        <w:tc>
          <w:tcPr>
            <w:tcW w:type="dxa" w:w="3888"/>
            <w:vAlign w:val="top"/>
            <w:tcMar>
              <w:top w:w="80" w:type="dxa"/>
              <w:start w:w="100" w:type="dxa"/>
              <w:bottom w:w="80" w:type="dxa"/>
              <w:end w:w="100" w:type="dxa"/>
            </w:tcMar>
          </w:tcPr>
          <w:p>
            <w:r>
              <w:rPr>
                <w:sz w:val="16"/>
              </w:rPr>
              <w:t>Duplicate/referral semantics complicate interpretation</w:t>
            </w:r>
          </w:p>
        </w:tc>
        <w:tc>
          <w:tcPr>
            <w:tcW w:type="dxa" w:w="4464"/>
            <w:vAlign w:val="top"/>
            <w:tcMar>
              <w:top w:w="80" w:type="dxa"/>
              <w:start w:w="100" w:type="dxa"/>
              <w:bottom w:w="80" w:type="dxa"/>
              <w:end w:w="100" w:type="dxa"/>
            </w:tcMar>
          </w:tcPr>
          <w:p>
            <w:r>
              <w:rPr>
                <w:sz w:val="16"/>
              </w:rPr>
              <w:t>Duplicate/Referral KPIs + definitions</w:t>
            </w:r>
          </w:p>
        </w:tc>
        <w:tc>
          <w:tcPr>
            <w:tcW w:type="dxa" w:w="1872"/>
            <w:vAlign w:val="top"/>
            <w:tcMar>
              <w:top w:w="80" w:type="dxa"/>
              <w:start w:w="100" w:type="dxa"/>
              <w:bottom w:w="80" w:type="dxa"/>
              <w:end w:w="100" w:type="dxa"/>
            </w:tcMar>
          </w:tcPr>
          <w:p>
            <w:r>
              <w:rPr>
                <w:sz w:val="16"/>
              </w:rPr>
              <w:t>BR-09</w:t>
            </w:r>
          </w:p>
        </w:tc>
      </w:tr>
      <w:tr>
        <w:tc>
          <w:tcPr>
            <w:tcW w:type="dxa" w:w="3888"/>
            <w:vAlign w:val="top"/>
            <w:tcMar>
              <w:top w:w="80" w:type="dxa"/>
              <w:start w:w="100" w:type="dxa"/>
              <w:bottom w:w="80" w:type="dxa"/>
              <w:end w:w="100" w:type="dxa"/>
            </w:tcMar>
          </w:tcPr>
          <w:p>
            <w:r>
              <w:rPr>
                <w:sz w:val="16"/>
              </w:rPr>
              <w:t>Metric assumptions can be misread</w:t>
            </w:r>
          </w:p>
        </w:tc>
        <w:tc>
          <w:tcPr>
            <w:tcW w:type="dxa" w:w="4464"/>
            <w:vAlign w:val="top"/>
            <w:tcMar>
              <w:top w:w="80" w:type="dxa"/>
              <w:start w:w="100" w:type="dxa"/>
              <w:bottom w:w="80" w:type="dxa"/>
              <w:end w:w="100" w:type="dxa"/>
            </w:tcMar>
          </w:tcPr>
          <w:p>
            <w:r>
              <w:rPr>
                <w:sz w:val="16"/>
              </w:rPr>
              <w:t>KPI dictionary and business rules</w:t>
            </w:r>
          </w:p>
        </w:tc>
        <w:tc>
          <w:tcPr>
            <w:tcW w:type="dxa" w:w="1872"/>
            <w:vAlign w:val="top"/>
            <w:tcMar>
              <w:top w:w="80" w:type="dxa"/>
              <w:start w:w="100" w:type="dxa"/>
              <w:bottom w:w="80" w:type="dxa"/>
              <w:end w:w="100" w:type="dxa"/>
            </w:tcMar>
          </w:tcPr>
          <w:p>
            <w:r>
              <w:rPr>
                <w:sz w:val="16"/>
              </w:rPr>
              <w:t>BR-08</w:t>
            </w:r>
          </w:p>
        </w:tc>
      </w:tr>
      <w:tr>
        <w:tc>
          <w:tcPr>
            <w:tcW w:type="dxa" w:w="3888"/>
            <w:vAlign w:val="top"/>
            <w:tcMar>
              <w:top w:w="80" w:type="dxa"/>
              <w:start w:w="100" w:type="dxa"/>
              <w:bottom w:w="80" w:type="dxa"/>
              <w:end w:w="100" w:type="dxa"/>
            </w:tcMar>
          </w:tcPr>
          <w:p>
            <w:r>
              <w:rPr>
                <w:sz w:val="16"/>
              </w:rPr>
              <w:t>Internal work process unavailable publicly</w:t>
            </w:r>
          </w:p>
        </w:tc>
        <w:tc>
          <w:tcPr>
            <w:tcW w:type="dxa" w:w="4464"/>
            <w:vAlign w:val="top"/>
            <w:tcMar>
              <w:top w:w="80" w:type="dxa"/>
              <w:start w:w="100" w:type="dxa"/>
              <w:bottom w:w="80" w:type="dxa"/>
              <w:end w:w="100" w:type="dxa"/>
            </w:tcMar>
          </w:tcPr>
          <w:p>
            <w:r>
              <w:rPr>
                <w:sz w:val="16"/>
              </w:rPr>
              <w:t>Internal elicitation/process discovery</w:t>
            </w:r>
          </w:p>
        </w:tc>
        <w:tc>
          <w:tcPr>
            <w:tcW w:type="dxa" w:w="1872"/>
            <w:vAlign w:val="top"/>
            <w:tcMar>
              <w:top w:w="80" w:type="dxa"/>
              <w:start w:w="100" w:type="dxa"/>
              <w:bottom w:w="80" w:type="dxa"/>
              <w:end w:w="100" w:type="dxa"/>
            </w:tcMar>
          </w:tcPr>
          <w:p>
            <w:r>
              <w:rPr>
                <w:sz w:val="16"/>
              </w:rPr>
              <w:t>Future live engagement</w:t>
            </w:r>
          </w:p>
        </w:tc>
      </w:tr>
    </w:tbl>
    <w:p>
      <w:pPr>
        <w:pStyle w:val="Heading2"/>
      </w:pPr>
      <w:r>
        <w:t>3.4 Root-cause hypotheses</w:t>
      </w:r>
    </w:p>
    <w:p>
      <w:r>
        <w:t>The current data supports prioritization questions, not final causal answers. Examples of hypotheses requiring validation include whether severe aging reflects long-cycle infrastructure processes, whether visible unresolved conditions contribute to repeat reporting, and whether district backlog differences reflect service mix or asset density. Artifact 12 records the evidence required to test each hypothesis.</w:t>
      </w:r>
    </w:p>
    <w:tbl>
      <w:tblPr>
        <w:tblW w:type="auto" w:w="0"/>
        <w:tblLayout w:type="fixed"/>
        <w:tblLook w:firstColumn="1" w:firstRow="1" w:lastColumn="0" w:lastRow="0" w:noHBand="0" w:noVBand="1" w:val="04A0"/>
      </w:tblPr>
      <w:tblGrid>
        <w:gridCol w:w="10080"/>
      </w:tblGrid>
      <w:tr>
        <w:tc>
          <w:tcPr>
            <w:tcW w:type="dxa" w:w="10224"/>
            <w:shd w:fill="17365D"/>
            <w:tcMar>
              <w:top w:w="90" w:type="dxa"/>
              <w:start w:w="140" w:type="dxa"/>
              <w:bottom w:w="90" w:type="dxa"/>
              <w:end w:w="140" w:type="dxa"/>
            </w:tcMar>
          </w:tcPr>
          <w:p>
            <w:r>
              <w:rPr>
                <w:b/>
                <w:color w:val="FFFFFF"/>
                <w:sz w:val="24"/>
              </w:rPr>
              <w:t>4. Stakeholder Analysis</w:t>
            </w:r>
          </w:p>
        </w:tc>
      </w:tr>
    </w:tbl>
    <w:p>
      <w:pPr>
        <w:spacing w:after="0"/>
      </w:pPr>
    </w:p>
    <w:p>
      <w:r>
        <w:t>The portfolio uses proposed stakeholder groups to demonstrate method without claiming direct City interviews. Key groups include operations leadership, department/program managers, operations/data analysts, council district staff, intake/routing staff, service-delivery teams, IT/data support, and residents/requesters.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160"/>
            <w:shd w:fill="2F5597"/>
          </w:tcPr>
          <w:p>
            <w:pPr>
              <w:jc w:val="center"/>
            </w:pPr>
            <w:r>
              <w:rPr>
                <w:b/>
                <w:color w:val="FFFFFF"/>
                <w:sz w:val="16"/>
              </w:rPr>
              <w:t>Stakeholder Group</w:t>
            </w:r>
          </w:p>
        </w:tc>
        <w:tc>
          <w:tcPr>
            <w:tcW w:type="dxa" w:w="4032"/>
            <w:shd w:fill="2F5597"/>
          </w:tcPr>
          <w:p>
            <w:pPr>
              <w:jc w:val="center"/>
            </w:pPr>
            <w:r>
              <w:rPr>
                <w:b/>
                <w:color w:val="FFFFFF"/>
                <w:sz w:val="16"/>
              </w:rPr>
              <w:t>Primary Information Need</w:t>
            </w:r>
          </w:p>
        </w:tc>
        <w:tc>
          <w:tcPr>
            <w:tcW w:type="dxa" w:w="1728"/>
            <w:shd w:fill="2F5597"/>
          </w:tcPr>
          <w:p>
            <w:pPr>
              <w:jc w:val="center"/>
            </w:pPr>
            <w:r>
              <w:rPr>
                <w:b/>
                <w:color w:val="FFFFFF"/>
                <w:sz w:val="16"/>
              </w:rPr>
              <w:t>Power / Interest</w:t>
            </w:r>
          </w:p>
        </w:tc>
        <w:tc>
          <w:tcPr>
            <w:tcW w:type="dxa" w:w="2160"/>
            <w:shd w:fill="2F5597"/>
          </w:tcPr>
          <w:p>
            <w:pPr>
              <w:jc w:val="center"/>
            </w:pPr>
            <w:r>
              <w:rPr>
                <w:b/>
                <w:color w:val="FFFFFF"/>
                <w:sz w:val="16"/>
              </w:rPr>
              <w:t>Engagement</w:t>
            </w:r>
          </w:p>
        </w:tc>
      </w:tr>
      <w:tr>
        <w:tc>
          <w:tcPr>
            <w:tcW w:type="dxa" w:w="2160"/>
            <w:vAlign w:val="top"/>
            <w:tcMar>
              <w:top w:w="80" w:type="dxa"/>
              <w:start w:w="100" w:type="dxa"/>
              <w:bottom w:w="80" w:type="dxa"/>
              <w:end w:w="100" w:type="dxa"/>
            </w:tcMar>
          </w:tcPr>
          <w:p>
            <w:r>
              <w:rPr>
                <w:sz w:val="16"/>
              </w:rPr>
              <w:t>Operations leadership</w:t>
            </w:r>
          </w:p>
        </w:tc>
        <w:tc>
          <w:tcPr>
            <w:tcW w:type="dxa" w:w="4032"/>
            <w:vAlign w:val="top"/>
            <w:tcMar>
              <w:top w:w="80" w:type="dxa"/>
              <w:start w:w="100" w:type="dxa"/>
              <w:bottom w:w="80" w:type="dxa"/>
              <w:end w:w="100" w:type="dxa"/>
            </w:tcMar>
          </w:tcPr>
          <w:p>
            <w:r>
              <w:rPr>
                <w:sz w:val="16"/>
              </w:rPr>
              <w:t>Backlog severity, trend direction, priorities</w:t>
            </w:r>
          </w:p>
        </w:tc>
        <w:tc>
          <w:tcPr>
            <w:tcW w:type="dxa" w:w="1728"/>
            <w:vAlign w:val="top"/>
            <w:tcMar>
              <w:top w:w="80" w:type="dxa"/>
              <w:start w:w="100" w:type="dxa"/>
              <w:bottom w:w="80" w:type="dxa"/>
              <w:end w:w="100" w:type="dxa"/>
            </w:tcMar>
          </w:tcPr>
          <w:p>
            <w:r>
              <w:rPr>
                <w:sz w:val="16"/>
              </w:rPr>
              <w:t>High / High</w:t>
            </w:r>
          </w:p>
        </w:tc>
        <w:tc>
          <w:tcPr>
            <w:tcW w:type="dxa" w:w="2160"/>
            <w:vAlign w:val="top"/>
            <w:tcMar>
              <w:top w:w="80" w:type="dxa"/>
              <w:start w:w="100" w:type="dxa"/>
              <w:bottom w:w="80" w:type="dxa"/>
              <w:end w:w="100" w:type="dxa"/>
            </w:tcMar>
          </w:tcPr>
          <w:p>
            <w:r>
              <w:rPr>
                <w:sz w:val="16"/>
              </w:rPr>
              <w:t>Manage closely</w:t>
            </w:r>
          </w:p>
        </w:tc>
      </w:tr>
      <w:tr>
        <w:tc>
          <w:tcPr>
            <w:tcW w:type="dxa" w:w="2160"/>
            <w:vAlign w:val="top"/>
            <w:tcMar>
              <w:top w:w="80" w:type="dxa"/>
              <w:start w:w="100" w:type="dxa"/>
              <w:bottom w:w="80" w:type="dxa"/>
              <w:end w:w="100" w:type="dxa"/>
            </w:tcMar>
          </w:tcPr>
          <w:p>
            <w:r>
              <w:rPr>
                <w:sz w:val="16"/>
              </w:rPr>
              <w:t>Department/program managers</w:t>
            </w:r>
          </w:p>
        </w:tc>
        <w:tc>
          <w:tcPr>
            <w:tcW w:type="dxa" w:w="4032"/>
            <w:vAlign w:val="top"/>
            <w:tcMar>
              <w:top w:w="80" w:type="dxa"/>
              <w:start w:w="100" w:type="dxa"/>
              <w:bottom w:w="80" w:type="dxa"/>
              <w:end w:w="100" w:type="dxa"/>
            </w:tcMar>
          </w:tcPr>
          <w:p>
            <w:r>
              <w:rPr>
                <w:sz w:val="16"/>
              </w:rPr>
              <w:t>Service-specific workload and aging</w:t>
            </w:r>
          </w:p>
        </w:tc>
        <w:tc>
          <w:tcPr>
            <w:tcW w:type="dxa" w:w="1728"/>
            <w:vAlign w:val="top"/>
            <w:tcMar>
              <w:top w:w="80" w:type="dxa"/>
              <w:start w:w="100" w:type="dxa"/>
              <w:bottom w:w="80" w:type="dxa"/>
              <w:end w:w="100" w:type="dxa"/>
            </w:tcMar>
          </w:tcPr>
          <w:p>
            <w:r>
              <w:rPr>
                <w:sz w:val="16"/>
              </w:rPr>
              <w:t>High / High</w:t>
            </w:r>
          </w:p>
        </w:tc>
        <w:tc>
          <w:tcPr>
            <w:tcW w:type="dxa" w:w="2160"/>
            <w:vAlign w:val="top"/>
            <w:tcMar>
              <w:top w:w="80" w:type="dxa"/>
              <w:start w:w="100" w:type="dxa"/>
              <w:bottom w:w="80" w:type="dxa"/>
              <w:end w:w="100" w:type="dxa"/>
            </w:tcMar>
          </w:tcPr>
          <w:p>
            <w:r>
              <w:rPr>
                <w:sz w:val="16"/>
              </w:rPr>
              <w:t>Manage closely</w:t>
            </w:r>
          </w:p>
        </w:tc>
      </w:tr>
      <w:tr>
        <w:tc>
          <w:tcPr>
            <w:tcW w:type="dxa" w:w="2160"/>
            <w:vAlign w:val="top"/>
            <w:tcMar>
              <w:top w:w="80" w:type="dxa"/>
              <w:start w:w="100" w:type="dxa"/>
              <w:bottom w:w="80" w:type="dxa"/>
              <w:end w:w="100" w:type="dxa"/>
            </w:tcMar>
          </w:tcPr>
          <w:p>
            <w:r>
              <w:rPr>
                <w:sz w:val="16"/>
              </w:rPr>
              <w:t>Operations/data analysts</w:t>
            </w:r>
          </w:p>
        </w:tc>
        <w:tc>
          <w:tcPr>
            <w:tcW w:type="dxa" w:w="4032"/>
            <w:vAlign w:val="top"/>
            <w:tcMar>
              <w:top w:w="80" w:type="dxa"/>
              <w:start w:w="100" w:type="dxa"/>
              <w:bottom w:w="80" w:type="dxa"/>
              <w:end w:w="100" w:type="dxa"/>
            </w:tcMar>
          </w:tcPr>
          <w:p>
            <w:r>
              <w:rPr>
                <w:sz w:val="16"/>
              </w:rPr>
              <w:t>Metric logic, drill-down, data quality</w:t>
            </w:r>
          </w:p>
        </w:tc>
        <w:tc>
          <w:tcPr>
            <w:tcW w:type="dxa" w:w="1728"/>
            <w:vAlign w:val="top"/>
            <w:tcMar>
              <w:top w:w="80" w:type="dxa"/>
              <w:start w:w="100" w:type="dxa"/>
              <w:bottom w:w="80" w:type="dxa"/>
              <w:end w:w="100" w:type="dxa"/>
            </w:tcMar>
          </w:tcPr>
          <w:p>
            <w:r>
              <w:rPr>
                <w:sz w:val="16"/>
              </w:rPr>
              <w:t>Medium / High</w:t>
            </w:r>
          </w:p>
        </w:tc>
        <w:tc>
          <w:tcPr>
            <w:tcW w:type="dxa" w:w="2160"/>
            <w:vAlign w:val="top"/>
            <w:tcMar>
              <w:top w:w="80" w:type="dxa"/>
              <w:start w:w="100" w:type="dxa"/>
              <w:bottom w:w="80" w:type="dxa"/>
              <w:end w:w="100" w:type="dxa"/>
            </w:tcMar>
          </w:tcPr>
          <w:p>
            <w:r>
              <w:rPr>
                <w:sz w:val="16"/>
              </w:rPr>
              <w:t>Collaborate frequently</w:t>
            </w:r>
          </w:p>
        </w:tc>
      </w:tr>
      <w:tr>
        <w:tc>
          <w:tcPr>
            <w:tcW w:type="dxa" w:w="2160"/>
            <w:vAlign w:val="top"/>
            <w:tcMar>
              <w:top w:w="80" w:type="dxa"/>
              <w:start w:w="100" w:type="dxa"/>
              <w:bottom w:w="80" w:type="dxa"/>
              <w:end w:w="100" w:type="dxa"/>
            </w:tcMar>
          </w:tcPr>
          <w:p>
            <w:r>
              <w:rPr>
                <w:sz w:val="16"/>
              </w:rPr>
              <w:t>Council district staff</w:t>
            </w:r>
          </w:p>
        </w:tc>
        <w:tc>
          <w:tcPr>
            <w:tcW w:type="dxa" w:w="4032"/>
            <w:vAlign w:val="top"/>
            <w:tcMar>
              <w:top w:w="80" w:type="dxa"/>
              <w:start w:w="100" w:type="dxa"/>
              <w:bottom w:w="80" w:type="dxa"/>
              <w:end w:w="100" w:type="dxa"/>
            </w:tcMar>
          </w:tcPr>
          <w:p>
            <w:r>
              <w:rPr>
                <w:sz w:val="16"/>
              </w:rPr>
              <w:t>Geographic concentration/context</w:t>
            </w:r>
          </w:p>
        </w:tc>
        <w:tc>
          <w:tcPr>
            <w:tcW w:type="dxa" w:w="1728"/>
            <w:vAlign w:val="top"/>
            <w:tcMar>
              <w:top w:w="80" w:type="dxa"/>
              <w:start w:w="100" w:type="dxa"/>
              <w:bottom w:w="80" w:type="dxa"/>
              <w:end w:w="100" w:type="dxa"/>
            </w:tcMar>
          </w:tcPr>
          <w:p>
            <w:r>
              <w:rPr>
                <w:sz w:val="16"/>
              </w:rPr>
              <w:t>Medium / High</w:t>
            </w:r>
          </w:p>
        </w:tc>
        <w:tc>
          <w:tcPr>
            <w:tcW w:type="dxa" w:w="2160"/>
            <w:vAlign w:val="top"/>
            <w:tcMar>
              <w:top w:w="80" w:type="dxa"/>
              <w:start w:w="100" w:type="dxa"/>
              <w:bottom w:w="80" w:type="dxa"/>
              <w:end w:w="100" w:type="dxa"/>
            </w:tcMar>
          </w:tcPr>
          <w:p>
            <w:r>
              <w:rPr>
                <w:sz w:val="16"/>
              </w:rPr>
              <w:t>Keep informed / validate</w:t>
            </w:r>
          </w:p>
        </w:tc>
      </w:tr>
      <w:tr>
        <w:tc>
          <w:tcPr>
            <w:tcW w:type="dxa" w:w="2160"/>
            <w:vAlign w:val="top"/>
            <w:tcMar>
              <w:top w:w="80" w:type="dxa"/>
              <w:start w:w="100" w:type="dxa"/>
              <w:bottom w:w="80" w:type="dxa"/>
              <w:end w:w="100" w:type="dxa"/>
            </w:tcMar>
          </w:tcPr>
          <w:p>
            <w:r>
              <w:rPr>
                <w:sz w:val="16"/>
              </w:rPr>
              <w:t>IT/data support</w:t>
            </w:r>
          </w:p>
        </w:tc>
        <w:tc>
          <w:tcPr>
            <w:tcW w:type="dxa" w:w="4032"/>
            <w:vAlign w:val="top"/>
            <w:tcMar>
              <w:top w:w="80" w:type="dxa"/>
              <w:start w:w="100" w:type="dxa"/>
              <w:bottom w:w="80" w:type="dxa"/>
              <w:end w:w="100" w:type="dxa"/>
            </w:tcMar>
          </w:tcPr>
          <w:p>
            <w:r>
              <w:rPr>
                <w:sz w:val="16"/>
              </w:rPr>
              <w:t>Refresh, model, source integrity</w:t>
            </w:r>
          </w:p>
        </w:tc>
        <w:tc>
          <w:tcPr>
            <w:tcW w:type="dxa" w:w="1728"/>
            <w:vAlign w:val="top"/>
            <w:tcMar>
              <w:top w:w="80" w:type="dxa"/>
              <w:start w:w="100" w:type="dxa"/>
              <w:bottom w:w="80" w:type="dxa"/>
              <w:end w:w="100" w:type="dxa"/>
            </w:tcMar>
          </w:tcPr>
          <w:p>
            <w:r>
              <w:rPr>
                <w:sz w:val="16"/>
              </w:rPr>
              <w:t>High / Medium</w:t>
            </w:r>
          </w:p>
        </w:tc>
        <w:tc>
          <w:tcPr>
            <w:tcW w:type="dxa" w:w="2160"/>
            <w:vAlign w:val="top"/>
            <w:tcMar>
              <w:top w:w="80" w:type="dxa"/>
              <w:start w:w="100" w:type="dxa"/>
              <w:bottom w:w="80" w:type="dxa"/>
              <w:end w:w="100" w:type="dxa"/>
            </w:tcMar>
          </w:tcPr>
          <w:p>
            <w:r>
              <w:rPr>
                <w:sz w:val="16"/>
              </w:rPr>
              <w:t>Keep satisfied / engage on changes</w:t>
            </w:r>
          </w:p>
        </w:tc>
      </w:tr>
      <w:tr>
        <w:tc>
          <w:tcPr>
            <w:tcW w:type="dxa" w:w="2160"/>
            <w:vAlign w:val="top"/>
            <w:tcMar>
              <w:top w:w="80" w:type="dxa"/>
              <w:start w:w="100" w:type="dxa"/>
              <w:bottom w:w="80" w:type="dxa"/>
              <w:end w:w="100" w:type="dxa"/>
            </w:tcMar>
          </w:tcPr>
          <w:p>
            <w:r>
              <w:rPr>
                <w:sz w:val="16"/>
              </w:rPr>
              <w:t>Residents/requesters</w:t>
            </w:r>
          </w:p>
        </w:tc>
        <w:tc>
          <w:tcPr>
            <w:tcW w:type="dxa" w:w="4032"/>
            <w:vAlign w:val="top"/>
            <w:tcMar>
              <w:top w:w="80" w:type="dxa"/>
              <w:start w:w="100" w:type="dxa"/>
              <w:bottom w:w="80" w:type="dxa"/>
              <w:end w:w="100" w:type="dxa"/>
            </w:tcMar>
          </w:tcPr>
          <w:p>
            <w:r>
              <w:rPr>
                <w:sz w:val="16"/>
              </w:rPr>
              <w:t>Status clarity and service experience</w:t>
            </w:r>
          </w:p>
        </w:tc>
        <w:tc>
          <w:tcPr>
            <w:tcW w:type="dxa" w:w="1728"/>
            <w:vAlign w:val="top"/>
            <w:tcMar>
              <w:top w:w="80" w:type="dxa"/>
              <w:start w:w="100" w:type="dxa"/>
              <w:bottom w:w="80" w:type="dxa"/>
              <w:end w:w="100" w:type="dxa"/>
            </w:tcMar>
          </w:tcPr>
          <w:p>
            <w:r>
              <w:rPr>
                <w:sz w:val="16"/>
              </w:rPr>
              <w:t>Low formal power / High interest</w:t>
            </w:r>
          </w:p>
        </w:tc>
        <w:tc>
          <w:tcPr>
            <w:tcW w:type="dxa" w:w="2160"/>
            <w:vAlign w:val="top"/>
            <w:tcMar>
              <w:top w:w="80" w:type="dxa"/>
              <w:start w:w="100" w:type="dxa"/>
              <w:bottom w:w="80" w:type="dxa"/>
              <w:end w:w="100" w:type="dxa"/>
            </w:tcMar>
          </w:tcPr>
          <w:p>
            <w:r>
              <w:rPr>
                <w:sz w:val="16"/>
              </w:rPr>
              <w:t>Inform / research where appropriate</w:t>
            </w:r>
          </w:p>
        </w:tc>
      </w:tr>
    </w:tbl>
    <w:p>
      <w:r>
        <w:t>In a live engagement, stakeholder identification would be validated first, followed by interviews/workshops to confirm decision rights, process ownership, service-specific targets, metric definitions, and reporting cadence.</w:t>
      </w:r>
    </w:p>
    <w:p>
      <w:r>
        <w:br w:type="page"/>
      </w:r>
    </w:p>
    <w:tbl>
      <w:tblPr>
        <w:tblW w:type="auto" w:w="0"/>
        <w:tblLayout w:type="fixed"/>
        <w:tblLook w:firstColumn="1" w:firstRow="1" w:lastColumn="0" w:lastRow="0" w:noHBand="0" w:noVBand="1" w:val="04A0"/>
      </w:tblPr>
      <w:tblGrid>
        <w:gridCol w:w="10080"/>
      </w:tblGrid>
      <w:tr>
        <w:tc>
          <w:tcPr>
            <w:tcW w:type="dxa" w:w="10224"/>
            <w:shd w:fill="17365D"/>
            <w:tcMar>
              <w:top w:w="90" w:type="dxa"/>
              <w:start w:w="140" w:type="dxa"/>
              <w:bottom w:w="90" w:type="dxa"/>
              <w:end w:w="140" w:type="dxa"/>
            </w:tcMar>
          </w:tcPr>
          <w:p>
            <w:r>
              <w:rPr>
                <w:b/>
                <w:color w:val="FFFFFF"/>
                <w:sz w:val="24"/>
              </w:rPr>
              <w:t>5. Requirements, Stories &amp; Prioritization</w:t>
            </w:r>
          </w:p>
        </w:tc>
      </w:tr>
    </w:tbl>
    <w:p>
      <w:pPr>
        <w:pStyle w:val="Heading2"/>
      </w:pPr>
      <w:r>
        <w:t>5.1 Business requirements</w:t>
      </w:r>
    </w:p>
    <w:tbl>
      <w:tblPr>
        <w:tblStyle w:val="TableGrid"/>
        <w:tblW w:type="auto" w:w="0"/>
        <w:jc w:val="center"/>
        <w:tblLook w:firstColumn="1" w:firstRow="1" w:lastColumn="0" w:lastRow="0" w:noHBand="0" w:noVBand="1" w:val="04A0"/>
      </w:tblPr>
      <w:tblGrid>
        <w:gridCol w:w="3408"/>
        <w:gridCol w:w="3408"/>
        <w:gridCol w:w="3408"/>
      </w:tblGrid>
      <w:tr>
        <w:tc>
          <w:tcPr>
            <w:tcW w:type="dxa" w:w="1152"/>
            <w:shd w:fill="2F5597"/>
          </w:tcPr>
          <w:p>
            <w:pPr>
              <w:jc w:val="center"/>
            </w:pPr>
            <w:r>
              <w:rPr>
                <w:b/>
                <w:color w:val="FFFFFF"/>
                <w:sz w:val="16"/>
              </w:rPr>
              <w:t>ID</w:t>
            </w:r>
          </w:p>
        </w:tc>
        <w:tc>
          <w:tcPr>
            <w:tcW w:type="dxa" w:w="7632"/>
            <w:shd w:fill="2F5597"/>
          </w:tcPr>
          <w:p>
            <w:pPr>
              <w:jc w:val="center"/>
            </w:pPr>
            <w:r>
              <w:rPr>
                <w:b/>
                <w:color w:val="FFFFFF"/>
                <w:sz w:val="16"/>
              </w:rPr>
              <w:t>Business Requirement</w:t>
            </w:r>
          </w:p>
        </w:tc>
        <w:tc>
          <w:tcPr>
            <w:tcW w:type="dxa" w:w="1296"/>
            <w:shd w:fill="2F5597"/>
          </w:tcPr>
          <w:p>
            <w:pPr>
              <w:jc w:val="center"/>
            </w:pPr>
            <w:r>
              <w:rPr>
                <w:b/>
                <w:color w:val="FFFFFF"/>
                <w:sz w:val="16"/>
              </w:rPr>
              <w:t>Priority</w:t>
            </w:r>
          </w:p>
        </w:tc>
      </w:tr>
      <w:tr>
        <w:tc>
          <w:tcPr>
            <w:tcW w:type="dxa" w:w="1152"/>
            <w:vAlign w:val="top"/>
            <w:tcMar>
              <w:top w:w="80" w:type="dxa"/>
              <w:start w:w="100" w:type="dxa"/>
              <w:bottom w:w="80" w:type="dxa"/>
              <w:end w:w="100" w:type="dxa"/>
            </w:tcMar>
          </w:tcPr>
          <w:p>
            <w:r>
              <w:rPr>
                <w:sz w:val="16"/>
              </w:rPr>
              <w:t>BR-01</w:t>
            </w:r>
          </w:p>
        </w:tc>
        <w:tc>
          <w:tcPr>
            <w:tcW w:type="dxa" w:w="7632"/>
            <w:vAlign w:val="top"/>
            <w:tcMar>
              <w:top w:w="80" w:type="dxa"/>
              <w:start w:w="100" w:type="dxa"/>
              <w:bottom w:w="80" w:type="dxa"/>
              <w:end w:w="100" w:type="dxa"/>
            </w:tcMar>
          </w:tcPr>
          <w:p>
            <w:r>
              <w:rPr>
                <w:sz w:val="16"/>
              </w:rPr>
              <w:t>Consolidated operational view</w:t>
            </w:r>
          </w:p>
        </w:tc>
        <w:tc>
          <w:tcPr>
            <w:tcW w:type="dxa" w:w="1296"/>
            <w:vAlign w:val="top"/>
            <w:tcMar>
              <w:top w:w="80" w:type="dxa"/>
              <w:start w:w="100" w:type="dxa"/>
              <w:bottom w:w="80" w:type="dxa"/>
              <w:end w:w="100" w:type="dxa"/>
            </w:tcMar>
          </w:tcPr>
          <w:p>
            <w:r>
              <w:rPr>
                <w:sz w:val="16"/>
              </w:rPr>
              <w:t>Must</w:t>
            </w:r>
          </w:p>
        </w:tc>
      </w:tr>
      <w:tr>
        <w:tc>
          <w:tcPr>
            <w:tcW w:type="dxa" w:w="1152"/>
            <w:vAlign w:val="top"/>
            <w:tcMar>
              <w:top w:w="80" w:type="dxa"/>
              <w:start w:w="100" w:type="dxa"/>
              <w:bottom w:w="80" w:type="dxa"/>
              <w:end w:w="100" w:type="dxa"/>
            </w:tcMar>
          </w:tcPr>
          <w:p>
            <w:r>
              <w:rPr>
                <w:sz w:val="16"/>
              </w:rPr>
              <w:t>BR-02</w:t>
            </w:r>
          </w:p>
        </w:tc>
        <w:tc>
          <w:tcPr>
            <w:tcW w:type="dxa" w:w="7632"/>
            <w:vAlign w:val="top"/>
            <w:tcMar>
              <w:top w:w="80" w:type="dxa"/>
              <w:start w:w="100" w:type="dxa"/>
              <w:bottom w:w="80" w:type="dxa"/>
              <w:end w:w="100" w:type="dxa"/>
            </w:tcMar>
          </w:tcPr>
          <w:p>
            <w:r>
              <w:rPr>
                <w:sz w:val="16"/>
              </w:rPr>
              <w:t>Aged backlog visibility</w:t>
            </w:r>
          </w:p>
        </w:tc>
        <w:tc>
          <w:tcPr>
            <w:tcW w:type="dxa" w:w="1296"/>
            <w:vAlign w:val="top"/>
            <w:tcMar>
              <w:top w:w="80" w:type="dxa"/>
              <w:start w:w="100" w:type="dxa"/>
              <w:bottom w:w="80" w:type="dxa"/>
              <w:end w:w="100" w:type="dxa"/>
            </w:tcMar>
          </w:tcPr>
          <w:p>
            <w:r>
              <w:rPr>
                <w:sz w:val="16"/>
              </w:rPr>
              <w:t>Must</w:t>
            </w:r>
          </w:p>
        </w:tc>
      </w:tr>
      <w:tr>
        <w:tc>
          <w:tcPr>
            <w:tcW w:type="dxa" w:w="1152"/>
            <w:vAlign w:val="top"/>
            <w:tcMar>
              <w:top w:w="80" w:type="dxa"/>
              <w:start w:w="100" w:type="dxa"/>
              <w:bottom w:w="80" w:type="dxa"/>
              <w:end w:w="100" w:type="dxa"/>
            </w:tcMar>
          </w:tcPr>
          <w:p>
            <w:r>
              <w:rPr>
                <w:sz w:val="16"/>
              </w:rPr>
              <w:t>BR-03</w:t>
            </w:r>
          </w:p>
        </w:tc>
        <w:tc>
          <w:tcPr>
            <w:tcW w:type="dxa" w:w="7632"/>
            <w:vAlign w:val="top"/>
            <w:tcMar>
              <w:top w:w="80" w:type="dxa"/>
              <w:start w:w="100" w:type="dxa"/>
              <w:bottom w:w="80" w:type="dxa"/>
              <w:end w:w="100" w:type="dxa"/>
            </w:tcMar>
          </w:tcPr>
          <w:p>
            <w:r>
              <w:rPr>
                <w:sz w:val="16"/>
              </w:rPr>
              <w:t>Council district comparison</w:t>
            </w:r>
          </w:p>
        </w:tc>
        <w:tc>
          <w:tcPr>
            <w:tcW w:type="dxa" w:w="1296"/>
            <w:vAlign w:val="top"/>
            <w:tcMar>
              <w:top w:w="80" w:type="dxa"/>
              <w:start w:w="100" w:type="dxa"/>
              <w:bottom w:w="80" w:type="dxa"/>
              <w:end w:w="100" w:type="dxa"/>
            </w:tcMar>
          </w:tcPr>
          <w:p>
            <w:r>
              <w:rPr>
                <w:sz w:val="16"/>
              </w:rPr>
              <w:t>Must</w:t>
            </w:r>
          </w:p>
        </w:tc>
      </w:tr>
      <w:tr>
        <w:tc>
          <w:tcPr>
            <w:tcW w:type="dxa" w:w="1152"/>
            <w:vAlign w:val="top"/>
            <w:tcMar>
              <w:top w:w="80" w:type="dxa"/>
              <w:start w:w="100" w:type="dxa"/>
              <w:bottom w:w="80" w:type="dxa"/>
              <w:end w:w="100" w:type="dxa"/>
            </w:tcMar>
          </w:tcPr>
          <w:p>
            <w:r>
              <w:rPr>
                <w:sz w:val="16"/>
              </w:rPr>
              <w:t>BR-04</w:t>
            </w:r>
          </w:p>
        </w:tc>
        <w:tc>
          <w:tcPr>
            <w:tcW w:type="dxa" w:w="7632"/>
            <w:vAlign w:val="top"/>
            <w:tcMar>
              <w:top w:w="80" w:type="dxa"/>
              <w:start w:w="100" w:type="dxa"/>
              <w:bottom w:w="80" w:type="dxa"/>
              <w:end w:w="100" w:type="dxa"/>
            </w:tcMar>
          </w:tcPr>
          <w:p>
            <w:r>
              <w:rPr>
                <w:sz w:val="16"/>
              </w:rPr>
              <w:t>Service-category comparison</w:t>
            </w:r>
          </w:p>
        </w:tc>
        <w:tc>
          <w:tcPr>
            <w:tcW w:type="dxa" w:w="1296"/>
            <w:vAlign w:val="top"/>
            <w:tcMar>
              <w:top w:w="80" w:type="dxa"/>
              <w:start w:w="100" w:type="dxa"/>
              <w:bottom w:w="80" w:type="dxa"/>
              <w:end w:w="100" w:type="dxa"/>
            </w:tcMar>
          </w:tcPr>
          <w:p>
            <w:r>
              <w:rPr>
                <w:sz w:val="16"/>
              </w:rPr>
              <w:t>Must</w:t>
            </w:r>
          </w:p>
        </w:tc>
      </w:tr>
      <w:tr>
        <w:tc>
          <w:tcPr>
            <w:tcW w:type="dxa" w:w="1152"/>
            <w:vAlign w:val="top"/>
            <w:tcMar>
              <w:top w:w="80" w:type="dxa"/>
              <w:start w:w="100" w:type="dxa"/>
              <w:bottom w:w="80" w:type="dxa"/>
              <w:end w:w="100" w:type="dxa"/>
            </w:tcMar>
          </w:tcPr>
          <w:p>
            <w:r>
              <w:rPr>
                <w:sz w:val="16"/>
              </w:rPr>
              <w:t>BR-05</w:t>
            </w:r>
          </w:p>
        </w:tc>
        <w:tc>
          <w:tcPr>
            <w:tcW w:type="dxa" w:w="7632"/>
            <w:vAlign w:val="top"/>
            <w:tcMar>
              <w:top w:w="80" w:type="dxa"/>
              <w:start w:w="100" w:type="dxa"/>
              <w:bottom w:w="80" w:type="dxa"/>
              <w:end w:w="100" w:type="dxa"/>
            </w:tcMar>
          </w:tcPr>
          <w:p>
            <w:r>
              <w:rPr>
                <w:sz w:val="16"/>
              </w:rPr>
              <w:t>Intake vs disposition monitoring</w:t>
            </w:r>
          </w:p>
        </w:tc>
        <w:tc>
          <w:tcPr>
            <w:tcW w:type="dxa" w:w="1296"/>
            <w:vAlign w:val="top"/>
            <w:tcMar>
              <w:top w:w="80" w:type="dxa"/>
              <w:start w:w="100" w:type="dxa"/>
              <w:bottom w:w="80" w:type="dxa"/>
              <w:end w:w="100" w:type="dxa"/>
            </w:tcMar>
          </w:tcPr>
          <w:p>
            <w:r>
              <w:rPr>
                <w:sz w:val="16"/>
              </w:rPr>
              <w:t>Must</w:t>
            </w:r>
          </w:p>
        </w:tc>
      </w:tr>
      <w:tr>
        <w:tc>
          <w:tcPr>
            <w:tcW w:type="dxa" w:w="1152"/>
            <w:vAlign w:val="top"/>
            <w:tcMar>
              <w:top w:w="80" w:type="dxa"/>
              <w:start w:w="100" w:type="dxa"/>
              <w:bottom w:w="80" w:type="dxa"/>
              <w:end w:w="100" w:type="dxa"/>
            </w:tcMar>
          </w:tcPr>
          <w:p>
            <w:r>
              <w:rPr>
                <w:sz w:val="16"/>
              </w:rPr>
              <w:t>BR-06</w:t>
            </w:r>
          </w:p>
        </w:tc>
        <w:tc>
          <w:tcPr>
            <w:tcW w:type="dxa" w:w="7632"/>
            <w:vAlign w:val="top"/>
            <w:tcMar>
              <w:top w:w="80" w:type="dxa"/>
              <w:start w:w="100" w:type="dxa"/>
              <w:bottom w:w="80" w:type="dxa"/>
              <w:end w:w="100" w:type="dxa"/>
            </w:tcMar>
          </w:tcPr>
          <w:p>
            <w:r>
              <w:rPr>
                <w:sz w:val="16"/>
              </w:rPr>
              <w:t>Interactive segmentation</w:t>
            </w:r>
          </w:p>
        </w:tc>
        <w:tc>
          <w:tcPr>
            <w:tcW w:type="dxa" w:w="1296"/>
            <w:vAlign w:val="top"/>
            <w:tcMar>
              <w:top w:w="80" w:type="dxa"/>
              <w:start w:w="100" w:type="dxa"/>
              <w:bottom w:w="80" w:type="dxa"/>
              <w:end w:w="100" w:type="dxa"/>
            </w:tcMar>
          </w:tcPr>
          <w:p>
            <w:r>
              <w:rPr>
                <w:sz w:val="16"/>
              </w:rPr>
              <w:t>Should</w:t>
            </w:r>
          </w:p>
        </w:tc>
      </w:tr>
      <w:tr>
        <w:tc>
          <w:tcPr>
            <w:tcW w:type="dxa" w:w="1152"/>
            <w:vAlign w:val="top"/>
            <w:tcMar>
              <w:top w:w="80" w:type="dxa"/>
              <w:start w:w="100" w:type="dxa"/>
              <w:bottom w:w="80" w:type="dxa"/>
              <w:end w:w="100" w:type="dxa"/>
            </w:tcMar>
          </w:tcPr>
          <w:p>
            <w:r>
              <w:rPr>
                <w:sz w:val="16"/>
              </w:rPr>
              <w:t>BR-07</w:t>
            </w:r>
          </w:p>
        </w:tc>
        <w:tc>
          <w:tcPr>
            <w:tcW w:type="dxa" w:w="7632"/>
            <w:vAlign w:val="top"/>
            <w:tcMar>
              <w:top w:w="80" w:type="dxa"/>
              <w:start w:w="100" w:type="dxa"/>
              <w:bottom w:w="80" w:type="dxa"/>
              <w:end w:w="100" w:type="dxa"/>
            </w:tcMar>
          </w:tcPr>
          <w:p>
            <w:r>
              <w:rPr>
                <w:sz w:val="16"/>
              </w:rPr>
              <w:t>Investigation without unsupported causal claims</w:t>
            </w:r>
          </w:p>
        </w:tc>
        <w:tc>
          <w:tcPr>
            <w:tcW w:type="dxa" w:w="1296"/>
            <w:vAlign w:val="top"/>
            <w:tcMar>
              <w:top w:w="80" w:type="dxa"/>
              <w:start w:w="100" w:type="dxa"/>
              <w:bottom w:w="80" w:type="dxa"/>
              <w:end w:w="100" w:type="dxa"/>
            </w:tcMar>
          </w:tcPr>
          <w:p>
            <w:r>
              <w:rPr>
                <w:sz w:val="16"/>
              </w:rPr>
              <w:t>Should</w:t>
            </w:r>
          </w:p>
        </w:tc>
      </w:tr>
      <w:tr>
        <w:tc>
          <w:tcPr>
            <w:tcW w:type="dxa" w:w="1152"/>
            <w:vAlign w:val="top"/>
            <w:tcMar>
              <w:top w:w="80" w:type="dxa"/>
              <w:start w:w="100" w:type="dxa"/>
              <w:bottom w:w="80" w:type="dxa"/>
              <w:end w:w="100" w:type="dxa"/>
            </w:tcMar>
          </w:tcPr>
          <w:p>
            <w:r>
              <w:rPr>
                <w:sz w:val="16"/>
              </w:rPr>
              <w:t>BR-08</w:t>
            </w:r>
          </w:p>
        </w:tc>
        <w:tc>
          <w:tcPr>
            <w:tcW w:type="dxa" w:w="7632"/>
            <w:vAlign w:val="top"/>
            <w:tcMar>
              <w:top w:w="80" w:type="dxa"/>
              <w:start w:w="100" w:type="dxa"/>
              <w:bottom w:w="80" w:type="dxa"/>
              <w:end w:w="100" w:type="dxa"/>
            </w:tcMar>
          </w:tcPr>
          <w:p>
            <w:r>
              <w:rPr>
                <w:sz w:val="16"/>
              </w:rPr>
              <w:t>Metric definitions, assumptions, limitations</w:t>
            </w:r>
          </w:p>
        </w:tc>
        <w:tc>
          <w:tcPr>
            <w:tcW w:type="dxa" w:w="1296"/>
            <w:vAlign w:val="top"/>
            <w:tcMar>
              <w:top w:w="80" w:type="dxa"/>
              <w:start w:w="100" w:type="dxa"/>
              <w:bottom w:w="80" w:type="dxa"/>
              <w:end w:w="100" w:type="dxa"/>
            </w:tcMar>
          </w:tcPr>
          <w:p>
            <w:r>
              <w:rPr>
                <w:sz w:val="16"/>
              </w:rPr>
              <w:t>Must</w:t>
            </w:r>
          </w:p>
        </w:tc>
      </w:tr>
      <w:tr>
        <w:tc>
          <w:tcPr>
            <w:tcW w:type="dxa" w:w="1152"/>
            <w:vAlign w:val="top"/>
            <w:tcMar>
              <w:top w:w="80" w:type="dxa"/>
              <w:start w:w="100" w:type="dxa"/>
              <w:bottom w:w="80" w:type="dxa"/>
              <w:end w:w="100" w:type="dxa"/>
            </w:tcMar>
          </w:tcPr>
          <w:p>
            <w:r>
              <w:rPr>
                <w:sz w:val="16"/>
              </w:rPr>
              <w:t>BR-09</w:t>
            </w:r>
          </w:p>
        </w:tc>
        <w:tc>
          <w:tcPr>
            <w:tcW w:type="dxa" w:w="7632"/>
            <w:vAlign w:val="top"/>
            <w:tcMar>
              <w:top w:w="80" w:type="dxa"/>
              <w:start w:w="100" w:type="dxa"/>
              <w:bottom w:w="80" w:type="dxa"/>
              <w:end w:w="100" w:type="dxa"/>
            </w:tcMar>
          </w:tcPr>
          <w:p>
            <w:r>
              <w:rPr>
                <w:sz w:val="16"/>
              </w:rPr>
              <w:t>Duplicate and referral monitoring</w:t>
            </w:r>
          </w:p>
        </w:tc>
        <w:tc>
          <w:tcPr>
            <w:tcW w:type="dxa" w:w="1296"/>
            <w:vAlign w:val="top"/>
            <w:tcMar>
              <w:top w:w="80" w:type="dxa"/>
              <w:start w:w="100" w:type="dxa"/>
              <w:bottom w:w="80" w:type="dxa"/>
              <w:end w:w="100" w:type="dxa"/>
            </w:tcMar>
          </w:tcPr>
          <w:p>
            <w:r>
              <w:rPr>
                <w:sz w:val="16"/>
              </w:rPr>
              <w:t>Should</w:t>
            </w:r>
          </w:p>
        </w:tc>
      </w:tr>
    </w:tbl>
    <w:p>
      <w:pPr>
        <w:pStyle w:val="Heading2"/>
      </w:pPr>
      <w:r>
        <w:t>5.2 Prioritization method</w:t>
      </w:r>
    </w:p>
    <w:p>
      <w:r>
        <w:t>Artifact 15 supplements MoSCoW with a weighted score across business value, decision criticality, risk/integrity, dependency/enablement, and inverse effort. The purpose is not to override stakeholder judgment; it is to make priority reasoning explicit and challengeable.</w:t>
      </w:r>
    </w:p>
    <w:p>
      <w:pPr>
        <w:pStyle w:val="Heading2"/>
      </w:pPr>
      <w:r>
        <w:t>5.3 Agile translation</w:t>
      </w:r>
    </w:p>
    <w:p>
      <w:r>
        <w:t>Eleven user stories translate the requirements into implementable work. Acceptance criteria are written in Given/When/Then style and map forward to UAT or documentation checks. Example: BR-02 → FR-03 → US-02 → Backlog ≥90 Days KPI → UAT-02.</w:t>
      </w:r>
    </w:p>
    <w:tbl>
      <w:tblPr>
        <w:tblW w:type="auto" w:w="0"/>
        <w:tblLayout w:type="fixed"/>
        <w:tblLook w:firstColumn="1" w:firstRow="1" w:lastColumn="0" w:lastRow="0" w:noHBand="0" w:noVBand="1" w:val="04A0"/>
      </w:tblPr>
      <w:tblGrid>
        <w:gridCol w:w="10080"/>
      </w:tblGrid>
      <w:tr>
        <w:tc>
          <w:tcPr>
            <w:tcW w:type="dxa" w:w="10224"/>
            <w:shd w:fill="17365D"/>
            <w:tcMar>
              <w:top w:w="90" w:type="dxa"/>
              <w:start w:w="140" w:type="dxa"/>
              <w:bottom w:w="90" w:type="dxa"/>
              <w:end w:w="140" w:type="dxa"/>
            </w:tcMar>
          </w:tcPr>
          <w:p>
            <w:r>
              <w:rPr>
                <w:b/>
                <w:color w:val="FFFFFF"/>
                <w:sz w:val="24"/>
              </w:rPr>
              <w:t>6. KPI, Data &amp; Business-Rule Governance</w:t>
            </w:r>
          </w:p>
        </w:tc>
      </w:tr>
    </w:tbl>
    <w:p>
      <w:pPr>
        <w:spacing w:after="0"/>
      </w:pPr>
    </w:p>
    <w:p>
      <w:pPr>
        <w:pStyle w:val="Heading2"/>
      </w:pPr>
      <w:r>
        <w:t>6.1 KPI dictionary</w:t>
      </w:r>
    </w:p>
    <w:tbl>
      <w:tblPr>
        <w:tblStyle w:val="TableGrid"/>
        <w:tblW w:type="auto" w:w="0"/>
        <w:jc w:val="center"/>
        <w:tblLook w:firstColumn="1" w:firstRow="1" w:lastColumn="0" w:lastRow="0" w:noHBand="0" w:noVBand="1" w:val="04A0"/>
      </w:tblPr>
      <w:tblGrid>
        <w:gridCol w:w="3408"/>
        <w:gridCol w:w="3408"/>
        <w:gridCol w:w="3408"/>
      </w:tblGrid>
      <w:tr>
        <w:tc>
          <w:tcPr>
            <w:tcW w:type="dxa" w:w="3024"/>
            <w:shd w:fill="2F5597"/>
          </w:tcPr>
          <w:p>
            <w:pPr>
              <w:jc w:val="center"/>
            </w:pPr>
            <w:r>
              <w:rPr>
                <w:b/>
                <w:color w:val="FFFFFF"/>
                <w:sz w:val="16"/>
              </w:rPr>
              <w:t>Metric</w:t>
            </w:r>
          </w:p>
        </w:tc>
        <w:tc>
          <w:tcPr>
            <w:tcW w:type="dxa" w:w="3744"/>
            <w:shd w:fill="2F5597"/>
          </w:tcPr>
          <w:p>
            <w:pPr>
              <w:jc w:val="center"/>
            </w:pPr>
            <w:r>
              <w:rPr>
                <w:b/>
                <w:color w:val="FFFFFF"/>
                <w:sz w:val="16"/>
              </w:rPr>
              <w:t>Business Meaning</w:t>
            </w:r>
          </w:p>
        </w:tc>
        <w:tc>
          <w:tcPr>
            <w:tcW w:type="dxa" w:w="3312"/>
            <w:shd w:fill="2F5597"/>
          </w:tcPr>
          <w:p>
            <w:pPr>
              <w:jc w:val="center"/>
            </w:pPr>
            <w:r>
              <w:rPr>
                <w:b/>
                <w:color w:val="FFFFFF"/>
                <w:sz w:val="16"/>
              </w:rPr>
              <w:t>Governance Caveat</w:t>
            </w:r>
          </w:p>
        </w:tc>
      </w:tr>
      <w:tr>
        <w:tc>
          <w:tcPr>
            <w:tcW w:type="dxa" w:w="3024"/>
            <w:vAlign w:val="top"/>
            <w:tcMar>
              <w:top w:w="80" w:type="dxa"/>
              <w:start w:w="100" w:type="dxa"/>
              <w:bottom w:w="80" w:type="dxa"/>
              <w:end w:w="100" w:type="dxa"/>
            </w:tcMar>
          </w:tcPr>
          <w:p>
            <w:r>
              <w:rPr>
                <w:sz w:val="16"/>
              </w:rPr>
              <w:t>Total Requests</w:t>
            </w:r>
          </w:p>
        </w:tc>
        <w:tc>
          <w:tcPr>
            <w:tcW w:type="dxa" w:w="3744"/>
            <w:vAlign w:val="top"/>
            <w:tcMar>
              <w:top w:w="80" w:type="dxa"/>
              <w:start w:w="100" w:type="dxa"/>
              <w:bottom w:w="80" w:type="dxa"/>
              <w:end w:w="100" w:type="dxa"/>
            </w:tcMar>
          </w:tcPr>
          <w:p>
            <w:r>
              <w:rPr>
                <w:sz w:val="16"/>
              </w:rPr>
              <w:t>Overall modeled request volume</w:t>
            </w:r>
          </w:p>
        </w:tc>
        <w:tc>
          <w:tcPr>
            <w:tcW w:type="dxa" w:w="3312"/>
            <w:vAlign w:val="top"/>
            <w:tcMar>
              <w:top w:w="80" w:type="dxa"/>
              <w:start w:w="100" w:type="dxa"/>
              <w:bottom w:w="80" w:type="dxa"/>
              <w:end w:w="100" w:type="dxa"/>
            </w:tcMar>
          </w:tcPr>
          <w:p>
            <w:r>
              <w:rPr>
                <w:sz w:val="16"/>
              </w:rPr>
              <w:t>Includes duplicate submissions unless filtered.</w:t>
            </w:r>
          </w:p>
        </w:tc>
      </w:tr>
      <w:tr>
        <w:tc>
          <w:tcPr>
            <w:tcW w:type="dxa" w:w="3024"/>
            <w:vAlign w:val="top"/>
            <w:tcMar>
              <w:top w:w="80" w:type="dxa"/>
              <w:start w:w="100" w:type="dxa"/>
              <w:bottom w:w="80" w:type="dxa"/>
              <w:end w:w="100" w:type="dxa"/>
            </w:tcMar>
          </w:tcPr>
          <w:p>
            <w:r>
              <w:rPr>
                <w:sz w:val="16"/>
              </w:rPr>
              <w:t>Open Backlog</w:t>
            </w:r>
          </w:p>
        </w:tc>
        <w:tc>
          <w:tcPr>
            <w:tcW w:type="dxa" w:w="3744"/>
            <w:vAlign w:val="top"/>
            <w:tcMar>
              <w:top w:w="80" w:type="dxa"/>
              <w:start w:w="100" w:type="dxa"/>
              <w:bottom w:w="80" w:type="dxa"/>
              <w:end w:w="100" w:type="dxa"/>
            </w:tcMar>
          </w:tcPr>
          <w:p>
            <w:r>
              <w:rPr>
                <w:sz w:val="16"/>
              </w:rPr>
              <w:t>Active/open request count</w:t>
            </w:r>
          </w:p>
        </w:tc>
        <w:tc>
          <w:tcPr>
            <w:tcW w:type="dxa" w:w="3312"/>
            <w:vAlign w:val="top"/>
            <w:tcMar>
              <w:top w:w="80" w:type="dxa"/>
              <w:start w:w="100" w:type="dxa"/>
              <w:bottom w:w="80" w:type="dxa"/>
              <w:end w:w="100" w:type="dxa"/>
            </w:tcMar>
          </w:tcPr>
          <w:p>
            <w:r>
              <w:rPr>
                <w:sz w:val="16"/>
              </w:rPr>
              <w:t>Public status is not detailed work-order stage.</w:t>
            </w:r>
          </w:p>
        </w:tc>
      </w:tr>
      <w:tr>
        <w:tc>
          <w:tcPr>
            <w:tcW w:type="dxa" w:w="3024"/>
            <w:vAlign w:val="top"/>
            <w:tcMar>
              <w:top w:w="80" w:type="dxa"/>
              <w:start w:w="100" w:type="dxa"/>
              <w:bottom w:w="80" w:type="dxa"/>
              <w:end w:w="100" w:type="dxa"/>
            </w:tcMar>
          </w:tcPr>
          <w:p>
            <w:r>
              <w:rPr>
                <w:sz w:val="16"/>
              </w:rPr>
              <w:t>90+ Day Backlog / Rate</w:t>
            </w:r>
          </w:p>
        </w:tc>
        <w:tc>
          <w:tcPr>
            <w:tcW w:type="dxa" w:w="3744"/>
            <w:vAlign w:val="top"/>
            <w:tcMar>
              <w:top w:w="80" w:type="dxa"/>
              <w:start w:w="100" w:type="dxa"/>
              <w:bottom w:w="80" w:type="dxa"/>
              <w:end w:w="100" w:type="dxa"/>
            </w:tcMar>
          </w:tcPr>
          <w:p>
            <w:r>
              <w:rPr>
                <w:sz w:val="16"/>
              </w:rPr>
              <w:t>Long-open workload count/share</w:t>
            </w:r>
          </w:p>
        </w:tc>
        <w:tc>
          <w:tcPr>
            <w:tcW w:type="dxa" w:w="3312"/>
            <w:vAlign w:val="top"/>
            <w:tcMar>
              <w:top w:w="80" w:type="dxa"/>
              <w:start w:w="100" w:type="dxa"/>
              <w:bottom w:w="80" w:type="dxa"/>
              <w:end w:w="100" w:type="dxa"/>
            </w:tcMar>
          </w:tcPr>
          <w:p>
            <w:r>
              <w:rPr>
                <w:sz w:val="16"/>
              </w:rPr>
              <w:t>90 days is an analytical threshold, not an SLA.</w:t>
            </w:r>
          </w:p>
        </w:tc>
      </w:tr>
      <w:tr>
        <w:tc>
          <w:tcPr>
            <w:tcW w:type="dxa" w:w="3024"/>
            <w:vAlign w:val="top"/>
            <w:tcMar>
              <w:top w:w="80" w:type="dxa"/>
              <w:start w:w="100" w:type="dxa"/>
              <w:bottom w:w="80" w:type="dxa"/>
              <w:end w:w="100" w:type="dxa"/>
            </w:tcMar>
          </w:tcPr>
          <w:p>
            <w:r>
              <w:rPr>
                <w:sz w:val="16"/>
              </w:rPr>
              <w:t>Median Open Case Age</w:t>
            </w:r>
          </w:p>
        </w:tc>
        <w:tc>
          <w:tcPr>
            <w:tcW w:type="dxa" w:w="3744"/>
            <w:vAlign w:val="top"/>
            <w:tcMar>
              <w:top w:w="80" w:type="dxa"/>
              <w:start w:w="100" w:type="dxa"/>
              <w:bottom w:w="80" w:type="dxa"/>
              <w:end w:w="100" w:type="dxa"/>
            </w:tcMar>
          </w:tcPr>
          <w:p>
            <w:r>
              <w:rPr>
                <w:sz w:val="16"/>
              </w:rPr>
              <w:t>Typical age of active requests</w:t>
            </w:r>
          </w:p>
        </w:tc>
        <w:tc>
          <w:tcPr>
            <w:tcW w:type="dxa" w:w="3312"/>
            <w:vAlign w:val="top"/>
            <w:tcMar>
              <w:top w:w="80" w:type="dxa"/>
              <w:start w:w="100" w:type="dxa"/>
              <w:bottom w:w="80" w:type="dxa"/>
              <w:end w:w="100" w:type="dxa"/>
            </w:tcMar>
          </w:tcPr>
          <w:p>
            <w:r>
              <w:rPr>
                <w:sz w:val="16"/>
              </w:rPr>
              <w:t>Must be tied to snapshot/refresh date.</w:t>
            </w:r>
          </w:p>
        </w:tc>
      </w:tr>
      <w:tr>
        <w:tc>
          <w:tcPr>
            <w:tcW w:type="dxa" w:w="3024"/>
            <w:vAlign w:val="top"/>
            <w:tcMar>
              <w:top w:w="80" w:type="dxa"/>
              <w:start w:w="100" w:type="dxa"/>
              <w:bottom w:w="80" w:type="dxa"/>
              <w:end w:w="100" w:type="dxa"/>
            </w:tcMar>
          </w:tcPr>
          <w:p>
            <w:r>
              <w:rPr>
                <w:sz w:val="16"/>
              </w:rPr>
              <w:t>Requests Received</w:t>
            </w:r>
          </w:p>
        </w:tc>
        <w:tc>
          <w:tcPr>
            <w:tcW w:type="dxa" w:w="3744"/>
            <w:vAlign w:val="top"/>
            <w:tcMar>
              <w:top w:w="80" w:type="dxa"/>
              <w:start w:w="100" w:type="dxa"/>
              <w:bottom w:w="80" w:type="dxa"/>
              <w:end w:w="100" w:type="dxa"/>
            </w:tcMar>
          </w:tcPr>
          <w:p>
            <w:r>
              <w:rPr>
                <w:sz w:val="16"/>
              </w:rPr>
              <w:t>Requests by date_requested</w:t>
            </w:r>
          </w:p>
        </w:tc>
        <w:tc>
          <w:tcPr>
            <w:tcW w:type="dxa" w:w="3312"/>
            <w:vAlign w:val="top"/>
            <w:tcMar>
              <w:top w:w="80" w:type="dxa"/>
              <w:start w:w="100" w:type="dxa"/>
              <w:bottom w:w="80" w:type="dxa"/>
              <w:end w:w="100" w:type="dxa"/>
            </w:tcMar>
          </w:tcPr>
          <w:p>
            <w:r>
              <w:rPr>
                <w:sz w:val="16"/>
              </w:rPr>
              <w:t>Intake measure.</w:t>
            </w:r>
          </w:p>
        </w:tc>
      </w:tr>
      <w:tr>
        <w:tc>
          <w:tcPr>
            <w:tcW w:type="dxa" w:w="3024"/>
            <w:vAlign w:val="top"/>
            <w:tcMar>
              <w:top w:w="80" w:type="dxa"/>
              <w:start w:w="100" w:type="dxa"/>
              <w:bottom w:w="80" w:type="dxa"/>
              <w:end w:w="100" w:type="dxa"/>
            </w:tcMar>
          </w:tcPr>
          <w:p>
            <w:r>
              <w:rPr>
                <w:sz w:val="16"/>
              </w:rPr>
              <w:t>Requests Dispositioned</w:t>
            </w:r>
          </w:p>
        </w:tc>
        <w:tc>
          <w:tcPr>
            <w:tcW w:type="dxa" w:w="3744"/>
            <w:vAlign w:val="top"/>
            <w:tcMar>
              <w:top w:w="80" w:type="dxa"/>
              <w:start w:w="100" w:type="dxa"/>
              <w:bottom w:w="80" w:type="dxa"/>
              <w:end w:w="100" w:type="dxa"/>
            </w:tcMar>
          </w:tcPr>
          <w:p>
            <w:r>
              <w:rPr>
                <w:sz w:val="16"/>
              </w:rPr>
              <w:t>Inactive records by date_closed</w:t>
            </w:r>
          </w:p>
        </w:tc>
        <w:tc>
          <w:tcPr>
            <w:tcW w:type="dxa" w:w="3312"/>
            <w:vAlign w:val="top"/>
            <w:tcMar>
              <w:top w:w="80" w:type="dxa"/>
              <w:start w:w="100" w:type="dxa"/>
              <w:bottom w:w="80" w:type="dxa"/>
              <w:end w:w="100" w:type="dxa"/>
            </w:tcMar>
          </w:tcPr>
          <w:p>
            <w:r>
              <w:rPr>
                <w:sz w:val="16"/>
              </w:rPr>
              <w:t>Closed/Referred does not prove physical completion.</w:t>
            </w:r>
          </w:p>
        </w:tc>
      </w:tr>
      <w:tr>
        <w:tc>
          <w:tcPr>
            <w:tcW w:type="dxa" w:w="3024"/>
            <w:vAlign w:val="top"/>
            <w:tcMar>
              <w:top w:w="80" w:type="dxa"/>
              <w:start w:w="100" w:type="dxa"/>
              <w:bottom w:w="80" w:type="dxa"/>
              <w:end w:w="100" w:type="dxa"/>
            </w:tcMar>
          </w:tcPr>
          <w:p>
            <w:r>
              <w:rPr>
                <w:sz w:val="16"/>
              </w:rPr>
              <w:t>Net Request Flow</w:t>
            </w:r>
          </w:p>
        </w:tc>
        <w:tc>
          <w:tcPr>
            <w:tcW w:type="dxa" w:w="3744"/>
            <w:vAlign w:val="top"/>
            <w:tcMar>
              <w:top w:w="80" w:type="dxa"/>
              <w:start w:w="100" w:type="dxa"/>
              <w:bottom w:w="80" w:type="dxa"/>
              <w:end w:w="100" w:type="dxa"/>
            </w:tcMar>
          </w:tcPr>
          <w:p>
            <w:r>
              <w:rPr>
                <w:sz w:val="16"/>
              </w:rPr>
              <w:t>Received − Dispositioned</w:t>
            </w:r>
          </w:p>
        </w:tc>
        <w:tc>
          <w:tcPr>
            <w:tcW w:type="dxa" w:w="3312"/>
            <w:vAlign w:val="top"/>
            <w:tcMar>
              <w:top w:w="80" w:type="dxa"/>
              <w:start w:w="100" w:type="dxa"/>
              <w:bottom w:w="80" w:type="dxa"/>
              <w:end w:w="100" w:type="dxa"/>
            </w:tcMar>
          </w:tcPr>
          <w:p>
            <w:r>
              <w:rPr>
                <w:sz w:val="16"/>
              </w:rPr>
              <w:t>Directional flow, not a full productivity measure.</w:t>
            </w:r>
          </w:p>
        </w:tc>
      </w:tr>
      <w:tr>
        <w:tc>
          <w:tcPr>
            <w:tcW w:type="dxa" w:w="3024"/>
            <w:vAlign w:val="top"/>
            <w:tcMar>
              <w:top w:w="80" w:type="dxa"/>
              <w:start w:w="100" w:type="dxa"/>
              <w:bottom w:w="80" w:type="dxa"/>
              <w:end w:w="100" w:type="dxa"/>
            </w:tcMar>
          </w:tcPr>
          <w:p>
            <w:r>
              <w:rPr>
                <w:sz w:val="16"/>
              </w:rPr>
              <w:t>Duplicate Rate</w:t>
            </w:r>
          </w:p>
        </w:tc>
        <w:tc>
          <w:tcPr>
            <w:tcW w:type="dxa" w:w="3744"/>
            <w:vAlign w:val="top"/>
            <w:tcMar>
              <w:top w:w="80" w:type="dxa"/>
              <w:start w:w="100" w:type="dxa"/>
              <w:bottom w:w="80" w:type="dxa"/>
              <w:end w:w="100" w:type="dxa"/>
            </w:tcMar>
          </w:tcPr>
          <w:p>
            <w:r>
              <w:rPr>
                <w:sz w:val="16"/>
              </w:rPr>
              <w:t>Duplicates / Total Requests</w:t>
            </w:r>
          </w:p>
        </w:tc>
        <w:tc>
          <w:tcPr>
            <w:tcW w:type="dxa" w:w="3312"/>
            <w:vAlign w:val="top"/>
            <w:tcMar>
              <w:top w:w="80" w:type="dxa"/>
              <w:start w:w="100" w:type="dxa"/>
              <w:bottom w:w="80" w:type="dxa"/>
              <w:end w:w="100" w:type="dxa"/>
            </w:tcMar>
          </w:tcPr>
          <w:p>
            <w:r>
              <w:rPr>
                <w:sz w:val="16"/>
              </w:rPr>
              <w:t>Interpretation requires process/customer context.</w:t>
            </w:r>
          </w:p>
        </w:tc>
      </w:tr>
      <w:tr>
        <w:tc>
          <w:tcPr>
            <w:tcW w:type="dxa" w:w="3024"/>
            <w:vAlign w:val="top"/>
            <w:tcMar>
              <w:top w:w="80" w:type="dxa"/>
              <w:start w:w="100" w:type="dxa"/>
              <w:bottom w:w="80" w:type="dxa"/>
              <w:end w:w="100" w:type="dxa"/>
            </w:tcMar>
          </w:tcPr>
          <w:p>
            <w:r>
              <w:rPr>
                <w:sz w:val="16"/>
              </w:rPr>
              <w:t>Referral Rate</w:t>
            </w:r>
          </w:p>
        </w:tc>
        <w:tc>
          <w:tcPr>
            <w:tcW w:type="dxa" w:w="3744"/>
            <w:vAlign w:val="top"/>
            <w:tcMar>
              <w:top w:w="80" w:type="dxa"/>
              <w:start w:w="100" w:type="dxa"/>
              <w:bottom w:w="80" w:type="dxa"/>
              <w:end w:w="100" w:type="dxa"/>
            </w:tcMar>
          </w:tcPr>
          <w:p>
            <w:r>
              <w:rPr>
                <w:sz w:val="16"/>
              </w:rPr>
              <w:t>Referred / Total Requests</w:t>
            </w:r>
          </w:p>
        </w:tc>
        <w:tc>
          <w:tcPr>
            <w:tcW w:type="dxa" w:w="3312"/>
            <w:vAlign w:val="top"/>
            <w:tcMar>
              <w:top w:w="80" w:type="dxa"/>
              <w:start w:w="100" w:type="dxa"/>
              <w:bottom w:w="80" w:type="dxa"/>
              <w:end w:w="100" w:type="dxa"/>
            </w:tcMar>
          </w:tcPr>
          <w:p>
            <w:r>
              <w:rPr>
                <w:sz w:val="16"/>
              </w:rPr>
              <w:t>Workflow exit; downstream resolution may be invisible.</w:t>
            </w:r>
          </w:p>
        </w:tc>
      </w:tr>
    </w:tbl>
    <w:p>
      <w:pPr>
        <w:pStyle w:val="Heading2"/>
      </w:pPr>
      <w:r>
        <w:t>6.2 Data quality lesson from implementation</w:t>
      </w:r>
    </w:p>
    <w:p>
      <w:r>
        <w:t>During the original analytics build, approximately 800 records initially produced date-conversion errors. Investigation showed the dates were not the root problem: quoted multiline text in free-text fields caused CSV parsing to shift values across columns. The ingestion logic was corrected rather than dropping those records downstream. Artifact 14 converts that lesson into repeatable data-quality rules for refresh, status-domain checks, source row counts, parent-ID logic, and metric reconciliation.</w:t>
      </w:r>
    </w:p>
    <w:p>
      <w:pPr>
        <w:pStyle w:val="Heading2"/>
      </w:pPr>
      <w:r>
        <w:t>6.3 Key interpretation rules</w:t>
      </w:r>
    </w:p>
    <w:p>
      <w:pPr>
        <w:pStyle w:val="ListBullet"/>
        <w:spacing w:after="40"/>
      </w:pPr>
      <w:r>
        <w:t>New and In Process are treated as active/open; Closed and Referred as inactive/workflow-exit for this case study.</w:t>
      </w:r>
    </w:p>
    <w:p>
      <w:pPr>
        <w:pStyle w:val="ListBullet"/>
        <w:spacing w:after="40"/>
      </w:pPr>
      <w:r>
        <w:t>Referred is not presented as confirmed physical resolution.</w:t>
      </w:r>
    </w:p>
    <w:p>
      <w:pPr>
        <w:pStyle w:val="ListBullet"/>
        <w:spacing w:after="40"/>
      </w:pPr>
      <w:r>
        <w:t>Duplicate identification uses the documented parent-request relationship.</w:t>
      </w:r>
    </w:p>
    <w:p>
      <w:pPr>
        <w:pStyle w:val="ListBullet"/>
        <w:spacing w:after="40"/>
      </w:pPr>
      <w:r>
        <w:t>District volume is descriptive unless normalized/contextualized.</w:t>
      </w:r>
    </w:p>
    <w:p>
      <w:pPr>
        <w:pStyle w:val="ListBullet"/>
        <w:spacing w:after="40"/>
      </w:pPr>
      <w:r>
        <w:t>Recommendations from public data are framed as investigation priorities rather than causal conclusions.</w:t>
      </w:r>
    </w:p>
    <w:p>
      <w:pPr>
        <w:spacing w:before="0" w:after="0"/>
      </w:pPr>
      <w:r>
        <w:br w:type="page"/>
      </w:r>
    </w:p>
    <w:tbl>
      <w:tblPr>
        <w:tblW w:type="auto" w:w="0"/>
        <w:tblLayout w:type="fixed"/>
        <w:tblLook w:firstColumn="1" w:firstRow="1" w:lastColumn="0" w:lastRow="0" w:noHBand="0" w:noVBand="1" w:val="04A0"/>
      </w:tblPr>
      <w:tblGrid>
        <w:gridCol w:w="10080"/>
      </w:tblGrid>
      <w:tr>
        <w:tc>
          <w:tcPr>
            <w:tcW w:type="dxa" w:w="10224"/>
            <w:shd w:fill="17365D"/>
            <w:tcMar>
              <w:top w:w="90" w:type="dxa"/>
              <w:start w:w="140" w:type="dxa"/>
              <w:bottom w:w="90" w:type="dxa"/>
              <w:end w:w="140" w:type="dxa"/>
            </w:tcMar>
          </w:tcPr>
          <w:p>
            <w:r>
              <w:rPr>
                <w:b/>
                <w:color w:val="FFFFFF"/>
                <w:sz w:val="24"/>
              </w:rPr>
              <w:t>7. Proposed Future State</w:t>
            </w:r>
          </w:p>
        </w:tc>
      </w:tr>
    </w:tbl>
    <w:p>
      <w:pPr>
        <w:spacing w:after="0"/>
      </w:pPr>
    </w:p>
    <w:p>
      <w:pPr>
        <w:keepNext/>
        <w:spacing w:after="72"/>
      </w:pPr>
      <w:r>
        <w:t>The proposed future state does not automate operational decisions. It creates a governed monitoring layer that refreshes standardized reporting data, surfaces backlog/aging/category/district/throughput patterns, flags conditions for management review, and records whether further analysis or operational action is needed.</w:t>
      </w:r>
    </w:p>
    <w:p>
      <w:pPr>
        <w:pStyle w:val="CaseNote"/>
        <w:keepNext/>
      </w:pPr>
      <w:r>
        <w:t>The analytics monitoring layer is a portfolio design concept around the completed Power BI solution, not a claim about the City’s current internal workflow.</w:t>
      </w:r>
    </w:p>
    <w:p>
      <w:pPr>
        <w:spacing w:before="0" w:after="0"/>
        <w:jc w:val="center"/>
      </w:pPr>
      <w:r>
        <w:drawing>
          <wp:inline xmlns:a="http://schemas.openxmlformats.org/drawingml/2006/main" xmlns:pic="http://schemas.openxmlformats.org/drawingml/2006/picture">
            <wp:extent cx="6419088" cy="3565512"/>
            <wp:docPr id="6" name="Picture 6"/>
            <wp:cNvGraphicFramePr>
              <a:graphicFrameLocks noChangeAspect="1"/>
            </wp:cNvGraphicFramePr>
            <a:graphic>
              <a:graphicData uri="http://schemas.openxmlformats.org/drawingml/2006/picture">
                <pic:pic>
                  <pic:nvPicPr>
                    <pic:cNvPr id="0" name="7_Proposed_Future_State_Map_Expanded.png"/>
                    <pic:cNvPicPr/>
                  </pic:nvPicPr>
                  <pic:blipFill>
                    <a:blip r:embed="rId23"/>
                    <a:stretch>
                      <a:fillRect/>
                    </a:stretch>
                  </pic:blipFill>
                  <pic:spPr>
                    <a:xfrm>
                      <a:off x="0" y="0"/>
                      <a:ext cx="6419088" cy="3565512"/>
                    </a:xfrm>
                    <a:prstGeom prst="rect"/>
                  </pic:spPr>
                </pic:pic>
              </a:graphicData>
            </a:graphic>
          </wp:inline>
        </w:drawing>
      </w:r>
    </w:p>
    <w:p>
      <w:pPr>
        <w:spacing w:before="0" w:after="0"/>
      </w:pPr>
      <w:r>
        <w:br w:type="page"/>
      </w:r>
    </w:p>
    <w:tbl>
      <w:tblPr>
        <w:tblW w:type="auto" w:w="0"/>
        <w:tblLayout w:type="fixed"/>
        <w:tblLook w:firstColumn="1" w:firstRow="1" w:lastColumn="0" w:lastRow="0" w:noHBand="0" w:noVBand="1" w:val="04A0"/>
      </w:tblPr>
      <w:tblGrid>
        <w:gridCol w:w="10080"/>
      </w:tblGrid>
      <w:tr>
        <w:trPr>
          <w:cantSplit/>
        </w:trPr>
        <w:tc>
          <w:tcPr>
            <w:tcW w:type="dxa" w:w="10224"/>
            <w:shd w:fill="17365D"/>
            <w:tcMar>
              <w:top w:w="90" w:type="dxa"/>
              <w:start w:w="140" w:type="dxa"/>
              <w:bottom w:w="90" w:type="dxa"/>
              <w:end w:w="140" w:type="dxa"/>
            </w:tcMar>
          </w:tcPr>
          <w:p>
            <w:pPr>
              <w:keepNext/>
            </w:pPr>
            <w:r>
              <w:rPr>
                <w:b/>
                <w:color w:val="FFFFFF"/>
                <w:sz w:val="24"/>
              </w:rPr>
              <w:t>8. Implemented Solution Evidence</w:t>
            </w:r>
          </w:p>
        </w:tc>
      </w:tr>
    </w:tbl>
    <w:p>
      <w:pPr>
        <w:spacing w:after="0"/>
      </w:pPr>
    </w:p>
    <w:p>
      <w:r>
        <w:t xml:space="preserve">The implemented analytical solution is the public companion repository: </w:t>
      </w:r>
      <w:hyperlink r:id="rId13">
        <w:r>
          <w:rPr>
            <w:color w:val="0563C1"/>
            <w:u w:val="single"/>
          </w:rPr>
          <w:t>github.com/ChaseBrangham/san-diego-service-operations</w:t>
        </w:r>
      </w:hyperlink>
    </w:p>
    <w:p>
      <w:pPr>
        <w:pStyle w:val="Heading2"/>
        <w:keepNext/>
        <w:spacing w:before="43" w:after="29"/>
      </w:pPr>
      <w:r>
        <w:t>8.1 Executive Overview</w:t>
      </w:r>
    </w:p>
    <w:p>
      <w:r>
        <w:t>The first Power BI page provides leadership-level visibility into Total Requests, Open Backlog, 30+ and 90+ day backlog, median open age, service-type backlog, service-type aging rates, and monthly Requests Received vs. Requests Dispositioned.</w:t>
      </w:r>
    </w:p>
    <w:p>
      <w:r>
        <w:rPr>
          <w:b/>
        </w:rPr>
        <w:t xml:space="preserve">View actual dashboard screenshot: </w:t>
      </w:r>
      <w:hyperlink r:id="rId14">
        <w:r>
          <w:rPr>
            <w:color w:val="0563C1"/>
            <w:u w:val="single"/>
          </w:rPr>
          <w:t>Executive Overview</w:t>
        </w:r>
      </w:hyperlink>
    </w:p>
    <w:p>
      <w:pPr>
        <w:pStyle w:val="Heading2"/>
        <w:keepNext/>
        <w:spacing w:before="43" w:after="29"/>
      </w:pPr>
      <w:r>
        <w:t>8.2 Backlog &amp; Process Analysis</w:t>
      </w:r>
    </w:p>
    <w:p>
      <w:r>
        <w:t>The second Power BI page provides age-bucket distribution, monthly Net Request Flow, council-district backlog, Duplicate Rate, Referral Rate, and duplicate concentration among high-volume services.</w:t>
      </w:r>
    </w:p>
    <w:p>
      <w:r>
        <w:rPr>
          <w:b/>
        </w:rPr>
        <w:t xml:space="preserve">View actual dashboard screenshot: </w:t>
      </w:r>
      <w:hyperlink r:id="rId15">
        <w:r>
          <w:rPr>
            <w:color w:val="0563C1"/>
            <w:u w:val="single"/>
          </w:rPr>
          <w:t>Backlog &amp; Process Analysis</w:t>
        </w:r>
      </w:hyperlink>
    </w:p>
    <w:tbl>
      <w:tblPr>
        <w:tblW w:type="auto" w:w="0"/>
        <w:tblLayout w:type="fixed"/>
        <w:tblLook w:firstColumn="1" w:firstRow="1" w:lastColumn="0" w:lastRow="0" w:noHBand="0" w:noVBand="1" w:val="04A0"/>
      </w:tblPr>
      <w:tblGrid>
        <w:gridCol w:w="10080"/>
      </w:tblGrid>
      <w:tr>
        <w:tc>
          <w:tcPr>
            <w:tcW w:type="dxa" w:w="10224"/>
            <w:shd w:fill="17365D"/>
            <w:tcMar>
              <w:top w:w="90" w:type="dxa"/>
              <w:start w:w="140" w:type="dxa"/>
              <w:bottom w:w="90" w:type="dxa"/>
              <w:end w:w="140" w:type="dxa"/>
            </w:tcMar>
          </w:tcPr>
          <w:p>
            <w:r>
              <w:rPr>
                <w:b/>
                <w:color w:val="FFFFFF"/>
                <w:sz w:val="24"/>
              </w:rPr>
              <w:t>9. Traceability, Verification &amp; UAT</w:t>
            </w:r>
          </w:p>
        </w:tc>
      </w:tr>
    </w:tbl>
    <w:p>
      <w:pPr>
        <w:spacing w:after="0"/>
      </w:pPr>
    </w:p>
    <w:p>
      <w:pPr>
        <w:pStyle w:val="Heading2"/>
        <w:keepNext/>
      </w:pPr>
      <w:r>
        <w:t>9.1 End-to-end traceability</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440"/>
            <w:shd w:fill="2F5597"/>
          </w:tcPr>
          <w:p>
            <w:pPr>
              <w:jc w:val="center"/>
            </w:pPr>
            <w:r>
              <w:rPr>
                <w:b/>
                <w:color w:val="FFFFFF"/>
                <w:sz w:val="16"/>
              </w:rPr>
              <w:t>Business Req</w:t>
            </w:r>
          </w:p>
        </w:tc>
        <w:tc>
          <w:tcPr>
            <w:tcW w:type="dxa" w:w="1728"/>
            <w:shd w:fill="2F5597"/>
          </w:tcPr>
          <w:p>
            <w:pPr>
              <w:jc w:val="center"/>
            </w:pPr>
            <w:r>
              <w:rPr>
                <w:b/>
                <w:color w:val="FFFFFF"/>
                <w:sz w:val="16"/>
              </w:rPr>
              <w:t>Functional Req</w:t>
            </w:r>
          </w:p>
        </w:tc>
        <w:tc>
          <w:tcPr>
            <w:tcW w:type="dxa" w:w="1728"/>
            <w:shd w:fill="2F5597"/>
          </w:tcPr>
          <w:p>
            <w:pPr>
              <w:jc w:val="center"/>
            </w:pPr>
            <w:r>
              <w:rPr>
                <w:b/>
                <w:color w:val="FFFFFF"/>
                <w:sz w:val="16"/>
              </w:rPr>
              <w:t>Story</w:t>
            </w:r>
          </w:p>
        </w:tc>
        <w:tc>
          <w:tcPr>
            <w:tcW w:type="dxa" w:w="3456"/>
            <w:shd w:fill="2F5597"/>
          </w:tcPr>
          <w:p>
            <w:pPr>
              <w:jc w:val="center"/>
            </w:pPr>
            <w:r>
              <w:rPr>
                <w:b/>
                <w:color w:val="FFFFFF"/>
                <w:sz w:val="16"/>
              </w:rPr>
              <w:t>Solution Evidence</w:t>
            </w:r>
          </w:p>
        </w:tc>
        <w:tc>
          <w:tcPr>
            <w:tcW w:type="dxa" w:w="1728"/>
            <w:shd w:fill="2F5597"/>
          </w:tcPr>
          <w:p>
            <w:pPr>
              <w:jc w:val="center"/>
            </w:pPr>
            <w:r>
              <w:rPr>
                <w:b/>
                <w:color w:val="FFFFFF"/>
                <w:sz w:val="16"/>
              </w:rPr>
              <w:t>Validation</w:t>
            </w:r>
          </w:p>
        </w:tc>
      </w:tr>
      <w:tr>
        <w:tc>
          <w:tcPr>
            <w:tcW w:type="dxa" w:w="1440"/>
            <w:vAlign w:val="top"/>
            <w:tcMar>
              <w:top w:w="80" w:type="dxa"/>
              <w:start w:w="100" w:type="dxa"/>
              <w:bottom w:w="80" w:type="dxa"/>
              <w:end w:w="100" w:type="dxa"/>
            </w:tcMar>
          </w:tcPr>
          <w:p>
            <w:r>
              <w:rPr>
                <w:sz w:val="16"/>
              </w:rPr>
              <w:t>BR-02</w:t>
            </w:r>
          </w:p>
        </w:tc>
        <w:tc>
          <w:tcPr>
            <w:tcW w:type="dxa" w:w="1728"/>
            <w:vAlign w:val="top"/>
            <w:tcMar>
              <w:top w:w="80" w:type="dxa"/>
              <w:start w:w="100" w:type="dxa"/>
              <w:bottom w:w="80" w:type="dxa"/>
              <w:end w:w="100" w:type="dxa"/>
            </w:tcMar>
          </w:tcPr>
          <w:p>
            <w:r>
              <w:rPr>
                <w:sz w:val="16"/>
              </w:rPr>
              <w:t>FR-03</w:t>
            </w:r>
          </w:p>
        </w:tc>
        <w:tc>
          <w:tcPr>
            <w:tcW w:type="dxa" w:w="1728"/>
            <w:vAlign w:val="top"/>
            <w:tcMar>
              <w:top w:w="80" w:type="dxa"/>
              <w:start w:w="100" w:type="dxa"/>
              <w:bottom w:w="80" w:type="dxa"/>
              <w:end w:w="100" w:type="dxa"/>
            </w:tcMar>
          </w:tcPr>
          <w:p>
            <w:r>
              <w:rPr>
                <w:sz w:val="16"/>
              </w:rPr>
              <w:t>US-02</w:t>
            </w:r>
          </w:p>
        </w:tc>
        <w:tc>
          <w:tcPr>
            <w:tcW w:type="dxa" w:w="3456"/>
            <w:vAlign w:val="top"/>
            <w:tcMar>
              <w:top w:w="80" w:type="dxa"/>
              <w:start w:w="100" w:type="dxa"/>
              <w:bottom w:w="80" w:type="dxa"/>
              <w:end w:w="100" w:type="dxa"/>
            </w:tcMar>
          </w:tcPr>
          <w:p>
            <w:r>
              <w:rPr>
                <w:sz w:val="16"/>
              </w:rPr>
              <w:t>Backlog ≥90 Days KPI</w:t>
            </w:r>
          </w:p>
        </w:tc>
        <w:tc>
          <w:tcPr>
            <w:tcW w:type="dxa" w:w="1728"/>
            <w:vAlign w:val="top"/>
            <w:tcMar>
              <w:top w:w="80" w:type="dxa"/>
              <w:start w:w="100" w:type="dxa"/>
              <w:bottom w:w="80" w:type="dxa"/>
              <w:end w:w="100" w:type="dxa"/>
            </w:tcMar>
          </w:tcPr>
          <w:p>
            <w:r>
              <w:rPr>
                <w:sz w:val="16"/>
              </w:rPr>
              <w:t>UAT-02</w:t>
            </w:r>
          </w:p>
        </w:tc>
      </w:tr>
      <w:tr>
        <w:tc>
          <w:tcPr>
            <w:tcW w:type="dxa" w:w="1440"/>
            <w:vAlign w:val="top"/>
            <w:tcMar>
              <w:top w:w="80" w:type="dxa"/>
              <w:start w:w="100" w:type="dxa"/>
              <w:bottom w:w="80" w:type="dxa"/>
              <w:end w:w="100" w:type="dxa"/>
            </w:tcMar>
          </w:tcPr>
          <w:p>
            <w:r>
              <w:rPr>
                <w:sz w:val="16"/>
              </w:rPr>
              <w:t>BR-03</w:t>
            </w:r>
          </w:p>
        </w:tc>
        <w:tc>
          <w:tcPr>
            <w:tcW w:type="dxa" w:w="1728"/>
            <w:vAlign w:val="top"/>
            <w:tcMar>
              <w:top w:w="80" w:type="dxa"/>
              <w:start w:w="100" w:type="dxa"/>
              <w:bottom w:w="80" w:type="dxa"/>
              <w:end w:w="100" w:type="dxa"/>
            </w:tcMar>
          </w:tcPr>
          <w:p>
            <w:r>
              <w:rPr>
                <w:sz w:val="16"/>
              </w:rPr>
              <w:t>FR-04</w:t>
            </w:r>
          </w:p>
        </w:tc>
        <w:tc>
          <w:tcPr>
            <w:tcW w:type="dxa" w:w="1728"/>
            <w:vAlign w:val="top"/>
            <w:tcMar>
              <w:top w:w="80" w:type="dxa"/>
              <w:start w:w="100" w:type="dxa"/>
              <w:bottom w:w="80" w:type="dxa"/>
              <w:end w:w="100" w:type="dxa"/>
            </w:tcMar>
          </w:tcPr>
          <w:p>
            <w:r>
              <w:rPr>
                <w:sz w:val="16"/>
              </w:rPr>
              <w:t>US-03</w:t>
            </w:r>
          </w:p>
        </w:tc>
        <w:tc>
          <w:tcPr>
            <w:tcW w:type="dxa" w:w="3456"/>
            <w:vAlign w:val="top"/>
            <w:tcMar>
              <w:top w:w="80" w:type="dxa"/>
              <w:start w:w="100" w:type="dxa"/>
              <w:bottom w:w="80" w:type="dxa"/>
              <w:end w:w="100" w:type="dxa"/>
            </w:tcMar>
          </w:tcPr>
          <w:p>
            <w:r>
              <w:rPr>
                <w:sz w:val="16"/>
              </w:rPr>
              <w:t>Council District backlog visual</w:t>
            </w:r>
          </w:p>
        </w:tc>
        <w:tc>
          <w:tcPr>
            <w:tcW w:type="dxa" w:w="1728"/>
            <w:vAlign w:val="top"/>
            <w:tcMar>
              <w:top w:w="80" w:type="dxa"/>
              <w:start w:w="100" w:type="dxa"/>
              <w:bottom w:w="80" w:type="dxa"/>
              <w:end w:w="100" w:type="dxa"/>
            </w:tcMar>
          </w:tcPr>
          <w:p>
            <w:r>
              <w:rPr>
                <w:sz w:val="16"/>
              </w:rPr>
              <w:t>UAT-03</w:t>
            </w:r>
          </w:p>
        </w:tc>
      </w:tr>
      <w:tr>
        <w:tc>
          <w:tcPr>
            <w:tcW w:type="dxa" w:w="1440"/>
            <w:vAlign w:val="top"/>
            <w:tcMar>
              <w:top w:w="80" w:type="dxa"/>
              <w:start w:w="100" w:type="dxa"/>
              <w:bottom w:w="80" w:type="dxa"/>
              <w:end w:w="100" w:type="dxa"/>
            </w:tcMar>
          </w:tcPr>
          <w:p>
            <w:r>
              <w:rPr>
                <w:sz w:val="16"/>
              </w:rPr>
              <w:t>BR-05</w:t>
            </w:r>
          </w:p>
        </w:tc>
        <w:tc>
          <w:tcPr>
            <w:tcW w:type="dxa" w:w="1728"/>
            <w:vAlign w:val="top"/>
            <w:tcMar>
              <w:top w:w="80" w:type="dxa"/>
              <w:start w:w="100" w:type="dxa"/>
              <w:bottom w:w="80" w:type="dxa"/>
              <w:end w:w="100" w:type="dxa"/>
            </w:tcMar>
          </w:tcPr>
          <w:p>
            <w:r>
              <w:rPr>
                <w:sz w:val="16"/>
              </w:rPr>
              <w:t>FR-06 / FR-07</w:t>
            </w:r>
          </w:p>
        </w:tc>
        <w:tc>
          <w:tcPr>
            <w:tcW w:type="dxa" w:w="1728"/>
            <w:vAlign w:val="top"/>
            <w:tcMar>
              <w:top w:w="80" w:type="dxa"/>
              <w:start w:w="100" w:type="dxa"/>
              <w:bottom w:w="80" w:type="dxa"/>
              <w:end w:w="100" w:type="dxa"/>
            </w:tcMar>
          </w:tcPr>
          <w:p>
            <w:r>
              <w:rPr>
                <w:sz w:val="16"/>
              </w:rPr>
              <w:t>US-05 / US-06</w:t>
            </w:r>
          </w:p>
        </w:tc>
        <w:tc>
          <w:tcPr>
            <w:tcW w:type="dxa" w:w="3456"/>
            <w:vAlign w:val="top"/>
            <w:tcMar>
              <w:top w:w="80" w:type="dxa"/>
              <w:start w:w="100" w:type="dxa"/>
              <w:bottom w:w="80" w:type="dxa"/>
              <w:end w:w="100" w:type="dxa"/>
            </w:tcMar>
          </w:tcPr>
          <w:p>
            <w:r>
              <w:rPr>
                <w:sz w:val="16"/>
              </w:rPr>
              <w:t>Monthly trend + Net Request Flow</w:t>
            </w:r>
          </w:p>
        </w:tc>
        <w:tc>
          <w:tcPr>
            <w:tcW w:type="dxa" w:w="1728"/>
            <w:vAlign w:val="top"/>
            <w:tcMar>
              <w:top w:w="80" w:type="dxa"/>
              <w:start w:w="100" w:type="dxa"/>
              <w:bottom w:w="80" w:type="dxa"/>
              <w:end w:w="100" w:type="dxa"/>
            </w:tcMar>
          </w:tcPr>
          <w:p>
            <w:r>
              <w:rPr>
                <w:sz w:val="16"/>
              </w:rPr>
              <w:t>UAT-05 / UAT-06</w:t>
            </w:r>
          </w:p>
        </w:tc>
      </w:tr>
      <w:tr>
        <w:tc>
          <w:tcPr>
            <w:tcW w:type="dxa" w:w="1440"/>
            <w:vAlign w:val="top"/>
            <w:tcMar>
              <w:top w:w="80" w:type="dxa"/>
              <w:start w:w="100" w:type="dxa"/>
              <w:bottom w:w="80" w:type="dxa"/>
              <w:end w:w="100" w:type="dxa"/>
            </w:tcMar>
          </w:tcPr>
          <w:p>
            <w:r>
              <w:rPr>
                <w:sz w:val="16"/>
              </w:rPr>
              <w:t>BR-09</w:t>
            </w:r>
          </w:p>
        </w:tc>
        <w:tc>
          <w:tcPr>
            <w:tcW w:type="dxa" w:w="1728"/>
            <w:vAlign w:val="top"/>
            <w:tcMar>
              <w:top w:w="80" w:type="dxa"/>
              <w:start w:w="100" w:type="dxa"/>
              <w:bottom w:w="80" w:type="dxa"/>
              <w:end w:w="100" w:type="dxa"/>
            </w:tcMar>
          </w:tcPr>
          <w:p>
            <w:r>
              <w:rPr>
                <w:sz w:val="16"/>
              </w:rPr>
              <w:t>FR-13 / FR-14</w:t>
            </w:r>
          </w:p>
        </w:tc>
        <w:tc>
          <w:tcPr>
            <w:tcW w:type="dxa" w:w="1728"/>
            <w:vAlign w:val="top"/>
            <w:tcMar>
              <w:top w:w="80" w:type="dxa"/>
              <w:start w:w="100" w:type="dxa"/>
              <w:bottom w:w="80" w:type="dxa"/>
              <w:end w:w="100" w:type="dxa"/>
            </w:tcMar>
          </w:tcPr>
          <w:p>
            <w:r>
              <w:rPr>
                <w:sz w:val="16"/>
              </w:rPr>
              <w:t>US-11</w:t>
            </w:r>
          </w:p>
        </w:tc>
        <w:tc>
          <w:tcPr>
            <w:tcW w:type="dxa" w:w="3456"/>
            <w:vAlign w:val="top"/>
            <w:tcMar>
              <w:top w:w="80" w:type="dxa"/>
              <w:start w:w="100" w:type="dxa"/>
              <w:bottom w:w="80" w:type="dxa"/>
              <w:end w:w="100" w:type="dxa"/>
            </w:tcMar>
          </w:tcPr>
          <w:p>
            <w:r>
              <w:rPr>
                <w:sz w:val="16"/>
              </w:rPr>
              <w:t>Duplicate + Referral metrics</w:t>
            </w:r>
          </w:p>
        </w:tc>
        <w:tc>
          <w:tcPr>
            <w:tcW w:type="dxa" w:w="1728"/>
            <w:vAlign w:val="top"/>
            <w:tcMar>
              <w:top w:w="80" w:type="dxa"/>
              <w:start w:w="100" w:type="dxa"/>
              <w:bottom w:w="80" w:type="dxa"/>
              <w:end w:w="100" w:type="dxa"/>
            </w:tcMar>
          </w:tcPr>
          <w:p>
            <w:r>
              <w:rPr>
                <w:sz w:val="16"/>
              </w:rPr>
              <w:t>UAT-13 / UAT-14</w:t>
            </w:r>
          </w:p>
        </w:tc>
      </w:tr>
    </w:tbl>
    <w:p>
      <w:pPr>
        <w:pStyle w:val="Heading2"/>
        <w:keepNext/>
      </w:pPr>
      <w:r>
        <w:t>9.2 Analyst verification</w:t>
      </w:r>
    </w:p>
    <w:p>
      <w:r>
        <w:t>Artifact 17 separates portfolio evidence checks from formal UAT. Visible dashboard capabilities and documented implementation details can be verified from the public companion repository. Filter-interaction behavior and row-level numerical reconciliation are not treated as fully verified unless the PBIX/source model is opened and tested.</w:t>
      </w:r>
    </w:p>
    <w:p>
      <w:pPr>
        <w:pStyle w:val="Heading2"/>
        <w:keepNext/>
      </w:pPr>
      <w:r>
        <w:t>9.3 UAT posture</w:t>
      </w:r>
    </w:p>
    <w:p>
      <w:r>
        <w:t>Fourteen business-facing UAT scenarios are defined, but they remain Planned. This is deliberate: a portfolio exercise without representative City users should not claim business acceptance. In a real engagement, UAT would include named testers, execution evidence, defect handling, retest, and formal sign-off/acceptance criteria.</w:t>
      </w:r>
    </w:p>
    <w:p>
      <w:pPr>
        <w:spacing w:before="0" w:after="0"/>
      </w:pPr>
      <w:r>
        <w:br w:type="page"/>
      </w:r>
    </w:p>
    <w:tbl>
      <w:tblPr>
        <w:tblW w:type="auto" w:w="0"/>
        <w:tblLayout w:type="fixed"/>
        <w:tblLook w:firstColumn="1" w:firstRow="1" w:lastColumn="0" w:lastRow="0" w:noHBand="0" w:noVBand="1" w:val="04A0"/>
      </w:tblPr>
      <w:tblGrid>
        <w:gridCol w:w="10080"/>
      </w:tblGrid>
      <w:tr>
        <w:trPr>
          <w:cantSplit/>
        </w:trPr>
        <w:tc>
          <w:tcPr>
            <w:tcW w:type="dxa" w:w="10224"/>
            <w:shd w:fill="17365D"/>
            <w:tcMar>
              <w:top w:w="90" w:type="dxa"/>
              <w:start w:w="140" w:type="dxa"/>
              <w:bottom w:w="90" w:type="dxa"/>
              <w:end w:w="140" w:type="dxa"/>
            </w:tcMar>
          </w:tcPr>
          <w:p>
            <w:pPr>
              <w:keepNext/>
            </w:pPr>
            <w:r>
              <w:rPr>
                <w:b/>
                <w:color w:val="FFFFFF"/>
                <w:sz w:val="24"/>
              </w:rPr>
              <w:t>10. Risks, Assumptions, Issues &amp; Dependencies</w:t>
            </w:r>
          </w:p>
        </w:tc>
      </w:tr>
    </w:tbl>
    <w:p>
      <w:pPr>
        <w:spacing w:after="0"/>
      </w:pPr>
    </w:p>
    <w:tbl>
      <w:tblPr>
        <w:tblStyle w:val="TableGrid"/>
        <w:tblW w:type="auto" w:w="0"/>
        <w:jc w:val="center"/>
        <w:tblLook w:firstColumn="1" w:firstRow="1" w:lastColumn="0" w:lastRow="0" w:noHBand="0" w:noVBand="1" w:val="04A0"/>
      </w:tblPr>
      <w:tblGrid>
        <w:gridCol w:w="3408"/>
        <w:gridCol w:w="3408"/>
        <w:gridCol w:w="3408"/>
      </w:tblGrid>
      <w:tr>
        <w:tc>
          <w:tcPr>
            <w:tcW w:type="dxa" w:w="1440"/>
            <w:shd w:fill="2F5597"/>
          </w:tcPr>
          <w:p>
            <w:pPr>
              <w:jc w:val="center"/>
            </w:pPr>
            <w:r>
              <w:rPr>
                <w:b/>
                <w:color w:val="FFFFFF"/>
                <w:sz w:val="16"/>
              </w:rPr>
              <w:t>Level</w:t>
            </w:r>
          </w:p>
        </w:tc>
        <w:tc>
          <w:tcPr>
            <w:tcW w:type="dxa" w:w="4608"/>
            <w:shd w:fill="2F5597"/>
          </w:tcPr>
          <w:p>
            <w:pPr>
              <w:jc w:val="center"/>
            </w:pPr>
            <w:r>
              <w:rPr>
                <w:b/>
                <w:color w:val="FFFFFF"/>
                <w:sz w:val="16"/>
              </w:rPr>
              <w:t>Risk / Dependency</w:t>
            </w:r>
          </w:p>
        </w:tc>
        <w:tc>
          <w:tcPr>
            <w:tcW w:type="dxa" w:w="4032"/>
            <w:shd w:fill="2F5597"/>
          </w:tcPr>
          <w:p>
            <w:pPr>
              <w:jc w:val="center"/>
            </w:pPr>
            <w:r>
              <w:rPr>
                <w:b/>
                <w:color w:val="FFFFFF"/>
                <w:sz w:val="16"/>
              </w:rPr>
              <w:t>Response</w:t>
            </w:r>
          </w:p>
        </w:tc>
      </w:tr>
      <w:tr>
        <w:tc>
          <w:tcPr>
            <w:tcW w:type="dxa" w:w="1440"/>
            <w:vAlign w:val="top"/>
            <w:tcMar>
              <w:top w:w="80" w:type="dxa"/>
              <w:start w:w="100" w:type="dxa"/>
              <w:bottom w:w="80" w:type="dxa"/>
              <w:end w:w="100" w:type="dxa"/>
            </w:tcMar>
          </w:tcPr>
          <w:p>
            <w:r>
              <w:rPr>
                <w:sz w:val="16"/>
              </w:rPr>
              <w:t>Critical</w:t>
            </w:r>
          </w:p>
        </w:tc>
        <w:tc>
          <w:tcPr>
            <w:tcW w:type="dxa" w:w="4608"/>
            <w:vAlign w:val="top"/>
            <w:tcMar>
              <w:top w:w="80" w:type="dxa"/>
              <w:start w:w="100" w:type="dxa"/>
              <w:bottom w:w="80" w:type="dxa"/>
              <w:end w:w="100" w:type="dxa"/>
            </w:tcMar>
          </w:tcPr>
          <w:p>
            <w:r>
              <w:rPr>
                <w:sz w:val="16"/>
              </w:rPr>
              <w:t>Public request data may be mistaken for completed maintenance work.</w:t>
            </w:r>
          </w:p>
        </w:tc>
        <w:tc>
          <w:tcPr>
            <w:tcW w:type="dxa" w:w="4032"/>
            <w:vAlign w:val="top"/>
            <w:tcMar>
              <w:top w:w="80" w:type="dxa"/>
              <w:start w:w="100" w:type="dxa"/>
              <w:bottom w:w="80" w:type="dxa"/>
              <w:end w:w="100" w:type="dxa"/>
            </w:tcMar>
          </w:tcPr>
          <w:p>
            <w:r>
              <w:rPr>
                <w:sz w:val="16"/>
              </w:rPr>
              <w:t>Use request/disposition terminology and explicit limitations.</w:t>
            </w:r>
          </w:p>
        </w:tc>
      </w:tr>
      <w:tr>
        <w:tc>
          <w:tcPr>
            <w:tcW w:type="dxa" w:w="1440"/>
            <w:vAlign w:val="top"/>
            <w:tcMar>
              <w:top w:w="80" w:type="dxa"/>
              <w:start w:w="100" w:type="dxa"/>
              <w:bottom w:w="80" w:type="dxa"/>
              <w:end w:w="100" w:type="dxa"/>
            </w:tcMar>
          </w:tcPr>
          <w:p>
            <w:r>
              <w:rPr>
                <w:sz w:val="16"/>
              </w:rPr>
              <w:t>Critical</w:t>
            </w:r>
          </w:p>
        </w:tc>
        <w:tc>
          <w:tcPr>
            <w:tcW w:type="dxa" w:w="4608"/>
            <w:vAlign w:val="top"/>
            <w:tcMar>
              <w:top w:w="80" w:type="dxa"/>
              <w:start w:w="100" w:type="dxa"/>
              <w:bottom w:w="80" w:type="dxa"/>
              <w:end w:w="100" w:type="dxa"/>
            </w:tcMar>
          </w:tcPr>
          <w:p>
            <w:r>
              <w:rPr>
                <w:sz w:val="16"/>
              </w:rPr>
              <w:t>Detailed internal work process is unavailable.</w:t>
            </w:r>
          </w:p>
        </w:tc>
        <w:tc>
          <w:tcPr>
            <w:tcW w:type="dxa" w:w="4032"/>
            <w:vAlign w:val="top"/>
            <w:tcMar>
              <w:top w:w="80" w:type="dxa"/>
              <w:start w:w="100" w:type="dxa"/>
              <w:bottom w:w="80" w:type="dxa"/>
              <w:end w:w="100" w:type="dxa"/>
            </w:tcMar>
          </w:tcPr>
          <w:p>
            <w:r>
              <w:rPr>
                <w:sz w:val="16"/>
              </w:rPr>
              <w:t>Bound process model to public lifecycle; require internal discovery.</w:t>
            </w:r>
          </w:p>
        </w:tc>
      </w:tr>
      <w:tr>
        <w:tc>
          <w:tcPr>
            <w:tcW w:type="dxa" w:w="1440"/>
            <w:vAlign w:val="top"/>
            <w:tcMar>
              <w:top w:w="80" w:type="dxa"/>
              <w:start w:w="100" w:type="dxa"/>
              <w:bottom w:w="80" w:type="dxa"/>
              <w:end w:w="100" w:type="dxa"/>
            </w:tcMar>
          </w:tcPr>
          <w:p>
            <w:r>
              <w:rPr>
                <w:sz w:val="16"/>
              </w:rPr>
              <w:t>High</w:t>
            </w:r>
          </w:p>
        </w:tc>
        <w:tc>
          <w:tcPr>
            <w:tcW w:type="dxa" w:w="4608"/>
            <w:vAlign w:val="top"/>
            <w:tcMar>
              <w:top w:w="80" w:type="dxa"/>
              <w:start w:w="100" w:type="dxa"/>
              <w:bottom w:w="80" w:type="dxa"/>
              <w:end w:w="100" w:type="dxa"/>
            </w:tcMar>
          </w:tcPr>
          <w:p>
            <w:r>
              <w:rPr>
                <w:sz w:val="16"/>
              </w:rPr>
              <w:t>District backlog may be misread as performance.</w:t>
            </w:r>
          </w:p>
        </w:tc>
        <w:tc>
          <w:tcPr>
            <w:tcW w:type="dxa" w:w="4032"/>
            <w:vAlign w:val="top"/>
            <w:tcMar>
              <w:top w:w="80" w:type="dxa"/>
              <w:start w:w="100" w:type="dxa"/>
              <w:bottom w:w="80" w:type="dxa"/>
              <w:end w:w="100" w:type="dxa"/>
            </w:tcMar>
          </w:tcPr>
          <w:p>
            <w:r>
              <w:rPr>
                <w:sz w:val="16"/>
              </w:rPr>
              <w:t>Require normalization/context before ranking.</w:t>
            </w:r>
          </w:p>
        </w:tc>
      </w:tr>
      <w:tr>
        <w:tc>
          <w:tcPr>
            <w:tcW w:type="dxa" w:w="1440"/>
            <w:vAlign w:val="top"/>
            <w:tcMar>
              <w:top w:w="80" w:type="dxa"/>
              <w:start w:w="100" w:type="dxa"/>
              <w:bottom w:w="80" w:type="dxa"/>
              <w:end w:w="100" w:type="dxa"/>
            </w:tcMar>
          </w:tcPr>
          <w:p>
            <w:r>
              <w:rPr>
                <w:sz w:val="16"/>
              </w:rPr>
              <w:t>High</w:t>
            </w:r>
          </w:p>
        </w:tc>
        <w:tc>
          <w:tcPr>
            <w:tcW w:type="dxa" w:w="4608"/>
            <w:vAlign w:val="top"/>
            <w:tcMar>
              <w:top w:w="80" w:type="dxa"/>
              <w:start w:w="100" w:type="dxa"/>
              <w:bottom w:w="80" w:type="dxa"/>
              <w:end w:w="100" w:type="dxa"/>
            </w:tcMar>
          </w:tcPr>
          <w:p>
            <w:r>
              <w:rPr>
                <w:sz w:val="16"/>
              </w:rPr>
              <w:t>90-day threshold may be misread as SLA.</w:t>
            </w:r>
          </w:p>
        </w:tc>
        <w:tc>
          <w:tcPr>
            <w:tcW w:type="dxa" w:w="4032"/>
            <w:vAlign w:val="top"/>
            <w:tcMar>
              <w:top w:w="80" w:type="dxa"/>
              <w:start w:w="100" w:type="dxa"/>
              <w:bottom w:w="80" w:type="dxa"/>
              <w:end w:w="100" w:type="dxa"/>
            </w:tcMar>
          </w:tcPr>
          <w:p>
            <w:r>
              <w:rPr>
                <w:sz w:val="16"/>
              </w:rPr>
              <w:t>Label as analytical threshold; validate by service.</w:t>
            </w:r>
          </w:p>
        </w:tc>
      </w:tr>
      <w:tr>
        <w:tc>
          <w:tcPr>
            <w:tcW w:type="dxa" w:w="1440"/>
            <w:vAlign w:val="top"/>
            <w:tcMar>
              <w:top w:w="80" w:type="dxa"/>
              <w:start w:w="100" w:type="dxa"/>
              <w:bottom w:w="80" w:type="dxa"/>
              <w:end w:w="100" w:type="dxa"/>
            </w:tcMar>
          </w:tcPr>
          <w:p>
            <w:r>
              <w:rPr>
                <w:sz w:val="16"/>
              </w:rPr>
              <w:t>High</w:t>
            </w:r>
          </w:p>
        </w:tc>
        <w:tc>
          <w:tcPr>
            <w:tcW w:type="dxa" w:w="4608"/>
            <w:vAlign w:val="top"/>
            <w:tcMar>
              <w:top w:w="80" w:type="dxa"/>
              <w:start w:w="100" w:type="dxa"/>
              <w:bottom w:w="80" w:type="dxa"/>
              <w:end w:w="100" w:type="dxa"/>
            </w:tcMar>
          </w:tcPr>
          <w:p>
            <w:r>
              <w:rPr>
                <w:sz w:val="16"/>
              </w:rPr>
              <w:t>Source-schema/CSV parsing changes may corrupt refresh.</w:t>
            </w:r>
          </w:p>
        </w:tc>
        <w:tc>
          <w:tcPr>
            <w:tcW w:type="dxa" w:w="4032"/>
            <w:vAlign w:val="top"/>
            <w:tcMar>
              <w:top w:w="80" w:type="dxa"/>
              <w:start w:w="100" w:type="dxa"/>
              <w:bottom w:w="80" w:type="dxa"/>
              <w:end w:w="100" w:type="dxa"/>
            </w:tcMar>
          </w:tcPr>
          <w:p>
            <w:r>
              <w:rPr>
                <w:sz w:val="16"/>
              </w:rPr>
              <w:t>Run repeatable data-quality checks and reconciliation.</w:t>
            </w:r>
          </w:p>
        </w:tc>
      </w:tr>
      <w:tr>
        <w:tc>
          <w:tcPr>
            <w:tcW w:type="dxa" w:w="1440"/>
            <w:vAlign w:val="top"/>
            <w:tcMar>
              <w:top w:w="80" w:type="dxa"/>
              <w:start w:w="100" w:type="dxa"/>
              <w:bottom w:w="80" w:type="dxa"/>
              <w:end w:w="100" w:type="dxa"/>
            </w:tcMar>
          </w:tcPr>
          <w:p>
            <w:r>
              <w:rPr>
                <w:sz w:val="16"/>
              </w:rPr>
              <w:t>Dependency</w:t>
            </w:r>
          </w:p>
        </w:tc>
        <w:tc>
          <w:tcPr>
            <w:tcW w:type="dxa" w:w="4608"/>
            <w:vAlign w:val="top"/>
            <w:tcMar>
              <w:top w:w="80" w:type="dxa"/>
              <w:start w:w="100" w:type="dxa"/>
              <w:bottom w:w="80" w:type="dxa"/>
              <w:end w:w="100" w:type="dxa"/>
            </w:tcMar>
          </w:tcPr>
          <w:p>
            <w:r>
              <w:rPr>
                <w:sz w:val="16"/>
              </w:rPr>
              <w:t>Root-cause interventions require internal process/context data.</w:t>
            </w:r>
          </w:p>
        </w:tc>
        <w:tc>
          <w:tcPr>
            <w:tcW w:type="dxa" w:w="4032"/>
            <w:vAlign w:val="top"/>
            <w:tcMar>
              <w:top w:w="80" w:type="dxa"/>
              <w:start w:w="100" w:type="dxa"/>
              <w:bottom w:w="80" w:type="dxa"/>
              <w:end w:w="100" w:type="dxa"/>
            </w:tcMar>
          </w:tcPr>
          <w:p>
            <w:r>
              <w:rPr>
                <w:sz w:val="16"/>
              </w:rPr>
              <w:t>Treat recommendations as investigation priorities until validated.</w:t>
            </w:r>
          </w:p>
        </w:tc>
      </w:tr>
    </w:tbl>
    <w:p>
      <w:pPr>
        <w:spacing w:before="0" w:after="0"/>
      </w:pPr>
      <w:r>
        <w:br w:type="page"/>
      </w:r>
    </w:p>
    <w:tbl>
      <w:tblPr>
        <w:tblW w:type="auto" w:w="0"/>
        <w:tblLayout w:type="fixed"/>
        <w:tblLook w:firstColumn="1" w:firstRow="1" w:lastColumn="0" w:lastRow="0" w:noHBand="0" w:noVBand="1" w:val="04A0"/>
      </w:tblPr>
      <w:tblGrid>
        <w:gridCol w:w="10080"/>
      </w:tblGrid>
      <w:tr>
        <w:trPr>
          <w:cantSplit/>
        </w:trPr>
        <w:tc>
          <w:tcPr>
            <w:tcW w:type="dxa" w:w="10224"/>
            <w:shd w:fill="17365D"/>
            <w:tcMar>
              <w:top w:w="90" w:type="dxa"/>
              <w:start w:w="140" w:type="dxa"/>
              <w:bottom w:w="90" w:type="dxa"/>
              <w:end w:w="140" w:type="dxa"/>
            </w:tcMar>
          </w:tcPr>
          <w:p>
            <w:pPr>
              <w:keepNext/>
            </w:pPr>
            <w:r>
              <w:rPr>
                <w:b/>
                <w:color w:val="FFFFFF"/>
                <w:sz w:val="24"/>
              </w:rPr>
              <w:t>11. Recommendations &amp; Next Steps</w:t>
            </w:r>
          </w:p>
        </w:tc>
      </w:tr>
    </w:tbl>
    <w:p>
      <w:pPr>
        <w:spacing w:after="0"/>
      </w:pPr>
    </w:p>
    <w:p>
      <w:pPr>
        <w:pStyle w:val="ListBullet"/>
        <w:spacing w:after="40"/>
      </w:pPr>
      <w:r>
        <w:t>Prioritize deeper operational review where high volume and severe aging overlap, particularly Sidewalk Repair, Street Light Maintenance, ROW Maintenance, and Pavement Maintenance.</w:t>
      </w:r>
    </w:p>
    <w:p>
      <w:pPr>
        <w:pStyle w:val="ListBullet"/>
        <w:spacing w:after="40"/>
      </w:pPr>
      <w:r>
        <w:t>Investigate Street Light duplicate reporting as a business/process question. The observed concentration is a signal, not proof of its cause.</w:t>
      </w:r>
    </w:p>
    <w:p>
      <w:pPr>
        <w:pStyle w:val="ListBullet"/>
        <w:spacing w:after="40"/>
      </w:pPr>
      <w:r>
        <w:t>Review District 3 backlog with population, service mix, asset inventory, and jurisdiction context before drawing performance conclusions.</w:t>
      </w:r>
    </w:p>
    <w:p>
      <w:pPr>
        <w:pStyle w:val="ListBullet"/>
        <w:spacing w:after="40"/>
      </w:pPr>
      <w:r>
        <w:t>Monitor Requests Received vs. Requests Dispositioned and Net Request Flow over time to identify persistent workload pressure or easing.</w:t>
      </w:r>
    </w:p>
    <w:p>
      <w:pPr>
        <w:pStyle w:val="ListBullet"/>
        <w:spacing w:after="40"/>
      </w:pPr>
      <w:r>
        <w:t>Treat referral as a distinct workflow outcome and, if operationally useful, standardize referral destinations for analysis.</w:t>
      </w:r>
    </w:p>
    <w:p>
      <w:pPr>
        <w:pStyle w:val="ListBullet"/>
        <w:spacing w:after="40"/>
      </w:pPr>
      <w:r>
        <w:t>In a live project, validate stakeholders, service-specific metrics/targets, business rules, and detailed process maps before proposing production process changes.</w:t>
      </w:r>
    </w:p>
    <w:tbl>
      <w:tblPr>
        <w:tblW w:type="auto" w:w="0"/>
        <w:tblLayout w:type="fixed"/>
        <w:tblLook w:firstColumn="1" w:firstRow="1" w:lastColumn="0" w:lastRow="0" w:noHBand="0" w:noVBand="1" w:val="04A0"/>
      </w:tblPr>
      <w:tblGrid>
        <w:gridCol w:w="10080"/>
      </w:tblGrid>
      <w:tr>
        <w:tc>
          <w:tcPr>
            <w:tcW w:type="dxa" w:w="10224"/>
            <w:shd w:fill="17365D"/>
            <w:tcMar>
              <w:top w:w="90" w:type="dxa"/>
              <w:start w:w="140" w:type="dxa"/>
              <w:bottom w:w="90" w:type="dxa"/>
              <w:end w:w="140" w:type="dxa"/>
            </w:tcMar>
          </w:tcPr>
          <w:p>
            <w:r>
              <w:rPr>
                <w:b/>
                <w:color w:val="FFFFFF"/>
                <w:sz w:val="24"/>
              </w:rPr>
              <w:t>12. Reflection: What This Case Study Adds</w:t>
            </w:r>
          </w:p>
        </w:tc>
      </w:tr>
    </w:tbl>
    <w:p>
      <w:pPr>
        <w:spacing w:after="0"/>
      </w:pPr>
    </w:p>
    <w:p>
      <w:r>
        <w:t>The original project proved that I could build an analytical solution. The BA extension changes the emphasis from “what does the dashboard show?” to “why does this capability exist, whose decision does it support, how is it defined, what assumptions does it depend on, and how would we know it is acceptable?”</w:t>
      </w:r>
    </w:p>
    <w:p>
      <w:r>
        <w:t>The biggest limitation is also an important lesson: a strong BA does not fill evidence gaps with confident-sounding assumptions. Public data can show patterns, but a real engagement would require stakeholder elicitation, internal process discovery, service-level definitions, data ownership, and UAT before operational changes were approved.</w:t>
      </w:r>
    </w:p>
    <w:p>
      <w:r>
        <w:t>If this were a live project, I would move requirements and metric governance earlier in the lifecycle, define acceptance criteria before the build, and involve process/data owners in validating status semantics and service-specific thresholds. That would reduce rework and make the final analytical solution easier to defend and maintain.</w:t>
      </w:r>
    </w:p>
    <w:p>
      <w:pPr>
        <w:spacing w:before="0" w:after="0"/>
      </w:pPr>
      <w:r>
        <w:br w:type="page"/>
      </w:r>
    </w:p>
    <w:tbl>
      <w:tblPr>
        <w:tblW w:type="auto" w:w="0"/>
        <w:tblLayout w:type="fixed"/>
        <w:tblLook w:firstColumn="1" w:firstRow="1" w:lastColumn="0" w:lastRow="0" w:noHBand="0" w:noVBand="1" w:val="04A0"/>
      </w:tblPr>
      <w:tblGrid>
        <w:gridCol w:w="10080"/>
      </w:tblGrid>
      <w:tr>
        <w:tc>
          <w:tcPr>
            <w:tcW w:type="dxa" w:w="10224"/>
            <w:shd w:fill="17365D"/>
            <w:tcMar>
              <w:top w:w="90" w:type="dxa"/>
              <w:start w:w="140" w:type="dxa"/>
              <w:bottom w:w="90" w:type="dxa"/>
              <w:end w:w="140" w:type="dxa"/>
            </w:tcMar>
          </w:tcPr>
          <w:p>
            <w:r>
              <w:rPr>
                <w:b/>
                <w:color w:val="FFFFFF"/>
                <w:sz w:val="24"/>
              </w:rPr>
              <w:t>Appendix — Artifact Library</w:t>
            </w:r>
          </w:p>
        </w:tc>
      </w:tr>
    </w:tbl>
    <w:p>
      <w:pPr>
        <w:spacing w:after="0"/>
      </w:pPr>
    </w:p>
    <w:tbl>
      <w:tblPr>
        <w:tblStyle w:val="TableGrid"/>
        <w:tblW w:type="auto" w:w="0"/>
        <w:jc w:val="center"/>
        <w:tblLook w:firstColumn="1" w:firstRow="1" w:lastColumn="0" w:lastRow="0" w:noHBand="0" w:noVBand="1" w:val="04A0"/>
      </w:tblPr>
      <w:tblGrid>
        <w:gridCol w:w="3408"/>
        <w:gridCol w:w="3408"/>
        <w:gridCol w:w="3408"/>
      </w:tblGrid>
      <w:tr>
        <w:tc>
          <w:tcPr>
            <w:tcW w:type="dxa" w:w="720"/>
            <w:shd w:fill="2F5597"/>
          </w:tcPr>
          <w:p>
            <w:pPr>
              <w:jc w:val="center"/>
            </w:pPr>
            <w:r>
              <w:rPr>
                <w:b/>
                <w:color w:val="FFFFFF"/>
                <w:sz w:val="16"/>
              </w:rPr>
              <w:t>#</w:t>
            </w:r>
          </w:p>
        </w:tc>
        <w:tc>
          <w:tcPr>
            <w:tcW w:type="dxa" w:w="6624"/>
            <w:shd w:fill="2F5597"/>
          </w:tcPr>
          <w:p>
            <w:pPr>
              <w:jc w:val="center"/>
            </w:pPr>
            <w:r>
              <w:rPr>
                <w:b/>
                <w:color w:val="FFFFFF"/>
                <w:sz w:val="16"/>
              </w:rPr>
              <w:t>Artifact</w:t>
            </w:r>
          </w:p>
        </w:tc>
        <w:tc>
          <w:tcPr>
            <w:tcW w:type="dxa" w:w="2592"/>
            <w:shd w:fill="2F5597"/>
          </w:tcPr>
          <w:p>
            <w:pPr>
              <w:jc w:val="center"/>
            </w:pPr>
            <w:r>
              <w:rPr>
                <w:b/>
                <w:color w:val="FFFFFF"/>
                <w:sz w:val="16"/>
              </w:rPr>
              <w:t>Folder</w:t>
            </w:r>
          </w:p>
        </w:tc>
      </w:tr>
      <w:tr>
        <w:tc>
          <w:tcPr>
            <w:tcW w:type="dxa" w:w="720"/>
            <w:vAlign w:val="top"/>
            <w:tcMar>
              <w:top w:w="80" w:type="dxa"/>
              <w:start w:w="100" w:type="dxa"/>
              <w:bottom w:w="80" w:type="dxa"/>
              <w:end w:w="100" w:type="dxa"/>
            </w:tcMar>
          </w:tcPr>
          <w:p>
            <w:r>
              <w:rPr>
                <w:sz w:val="16"/>
              </w:rPr>
              <w:t>01</w:t>
            </w:r>
          </w:p>
        </w:tc>
        <w:tc>
          <w:tcPr>
            <w:tcW w:type="dxa" w:w="6624"/>
            <w:vAlign w:val="top"/>
            <w:tcMar>
              <w:top w:w="80" w:type="dxa"/>
              <w:start w:w="100" w:type="dxa"/>
              <w:bottom w:w="80" w:type="dxa"/>
              <w:end w:w="100" w:type="dxa"/>
            </w:tcMar>
          </w:tcPr>
          <w:p>
            <w:r>
              <w:rPr>
                <w:sz w:val="16"/>
              </w:rPr>
              <w:t>Project Overview &amp; Scope</w:t>
            </w:r>
          </w:p>
        </w:tc>
        <w:tc>
          <w:tcPr>
            <w:tcW w:type="dxa" w:w="2592"/>
            <w:vAlign w:val="top"/>
            <w:tcMar>
              <w:top w:w="80" w:type="dxa"/>
              <w:start w:w="100" w:type="dxa"/>
              <w:bottom w:w="80" w:type="dxa"/>
              <w:end w:w="100" w:type="dxa"/>
            </w:tcMar>
          </w:tcPr>
          <w:p>
            <w:r>
              <w:rPr>
                <w:sz w:val="16"/>
              </w:rPr>
              <w:t>docs/</w:t>
            </w:r>
          </w:p>
        </w:tc>
      </w:tr>
      <w:tr>
        <w:tc>
          <w:tcPr>
            <w:tcW w:type="dxa" w:w="720"/>
            <w:vAlign w:val="top"/>
            <w:tcMar>
              <w:top w:w="80" w:type="dxa"/>
              <w:start w:w="100" w:type="dxa"/>
              <w:bottom w:w="80" w:type="dxa"/>
              <w:end w:w="100" w:type="dxa"/>
            </w:tcMar>
          </w:tcPr>
          <w:p>
            <w:r>
              <w:rPr>
                <w:sz w:val="16"/>
              </w:rPr>
              <w:t>02</w:t>
            </w:r>
          </w:p>
        </w:tc>
        <w:tc>
          <w:tcPr>
            <w:tcW w:type="dxa" w:w="6624"/>
            <w:vAlign w:val="top"/>
            <w:tcMar>
              <w:top w:w="80" w:type="dxa"/>
              <w:start w:w="100" w:type="dxa"/>
              <w:bottom w:w="80" w:type="dxa"/>
              <w:end w:w="100" w:type="dxa"/>
            </w:tcMar>
          </w:tcPr>
          <w:p>
            <w:r>
              <w:rPr>
                <w:sz w:val="16"/>
              </w:rPr>
              <w:t>Stakeholder Analysis</w:t>
            </w:r>
          </w:p>
        </w:tc>
        <w:tc>
          <w:tcPr>
            <w:tcW w:type="dxa" w:w="2592"/>
            <w:vAlign w:val="top"/>
            <w:tcMar>
              <w:top w:w="80" w:type="dxa"/>
              <w:start w:w="100" w:type="dxa"/>
              <w:bottom w:w="80" w:type="dxa"/>
              <w:end w:w="100" w:type="dxa"/>
            </w:tcMar>
          </w:tcPr>
          <w:p>
            <w:r>
              <w:rPr>
                <w:sz w:val="16"/>
              </w:rPr>
              <w:t>stakeholders/</w:t>
            </w:r>
          </w:p>
        </w:tc>
      </w:tr>
      <w:tr>
        <w:tc>
          <w:tcPr>
            <w:tcW w:type="dxa" w:w="720"/>
            <w:vAlign w:val="top"/>
            <w:tcMar>
              <w:top w:w="80" w:type="dxa"/>
              <w:start w:w="100" w:type="dxa"/>
              <w:bottom w:w="80" w:type="dxa"/>
              <w:end w:w="100" w:type="dxa"/>
            </w:tcMar>
          </w:tcPr>
          <w:p>
            <w:r>
              <w:rPr>
                <w:sz w:val="16"/>
              </w:rPr>
              <w:t>03</w:t>
            </w:r>
          </w:p>
        </w:tc>
        <w:tc>
          <w:tcPr>
            <w:tcW w:type="dxa" w:w="6624"/>
            <w:vAlign w:val="top"/>
            <w:tcMar>
              <w:top w:w="80" w:type="dxa"/>
              <w:start w:w="100" w:type="dxa"/>
              <w:bottom w:w="80" w:type="dxa"/>
              <w:end w:w="100" w:type="dxa"/>
            </w:tcMar>
          </w:tcPr>
          <w:p>
            <w:r>
              <w:rPr>
                <w:sz w:val="16"/>
              </w:rPr>
              <w:t>As-Is Process Map</w:t>
            </w:r>
          </w:p>
        </w:tc>
        <w:tc>
          <w:tcPr>
            <w:tcW w:type="dxa" w:w="2592"/>
            <w:vAlign w:val="top"/>
            <w:tcMar>
              <w:top w:w="80" w:type="dxa"/>
              <w:start w:w="100" w:type="dxa"/>
              <w:bottom w:w="80" w:type="dxa"/>
              <w:end w:w="100" w:type="dxa"/>
            </w:tcMar>
          </w:tcPr>
          <w:p>
            <w:r>
              <w:rPr>
                <w:sz w:val="16"/>
              </w:rPr>
              <w:t>process-maps/</w:t>
            </w:r>
          </w:p>
        </w:tc>
      </w:tr>
      <w:tr>
        <w:tc>
          <w:tcPr>
            <w:tcW w:type="dxa" w:w="720"/>
            <w:vAlign w:val="top"/>
            <w:tcMar>
              <w:top w:w="80" w:type="dxa"/>
              <w:start w:w="100" w:type="dxa"/>
              <w:bottom w:w="80" w:type="dxa"/>
              <w:end w:w="100" w:type="dxa"/>
            </w:tcMar>
          </w:tcPr>
          <w:p>
            <w:r>
              <w:rPr>
                <w:sz w:val="16"/>
              </w:rPr>
              <w:t>04</w:t>
            </w:r>
          </w:p>
        </w:tc>
        <w:tc>
          <w:tcPr>
            <w:tcW w:type="dxa" w:w="6624"/>
            <w:vAlign w:val="top"/>
            <w:tcMar>
              <w:top w:w="80" w:type="dxa"/>
              <w:start w:w="100" w:type="dxa"/>
              <w:bottom w:w="80" w:type="dxa"/>
              <w:end w:w="100" w:type="dxa"/>
            </w:tcMar>
          </w:tcPr>
          <w:p>
            <w:r>
              <w:rPr>
                <w:sz w:val="16"/>
              </w:rPr>
              <w:t>To-Be Process Map</w:t>
            </w:r>
          </w:p>
        </w:tc>
        <w:tc>
          <w:tcPr>
            <w:tcW w:type="dxa" w:w="2592"/>
            <w:vAlign w:val="top"/>
            <w:tcMar>
              <w:top w:w="80" w:type="dxa"/>
              <w:start w:w="100" w:type="dxa"/>
              <w:bottom w:w="80" w:type="dxa"/>
              <w:end w:w="100" w:type="dxa"/>
            </w:tcMar>
          </w:tcPr>
          <w:p>
            <w:r>
              <w:rPr>
                <w:sz w:val="16"/>
              </w:rPr>
              <w:t>process-maps/</w:t>
            </w:r>
          </w:p>
        </w:tc>
      </w:tr>
      <w:tr>
        <w:tc>
          <w:tcPr>
            <w:tcW w:type="dxa" w:w="720"/>
            <w:vAlign w:val="top"/>
            <w:tcMar>
              <w:top w:w="80" w:type="dxa"/>
              <w:start w:w="100" w:type="dxa"/>
              <w:bottom w:w="80" w:type="dxa"/>
              <w:end w:w="100" w:type="dxa"/>
            </w:tcMar>
          </w:tcPr>
          <w:p>
            <w:r>
              <w:rPr>
                <w:sz w:val="16"/>
              </w:rPr>
              <w:t>05</w:t>
            </w:r>
          </w:p>
        </w:tc>
        <w:tc>
          <w:tcPr>
            <w:tcW w:type="dxa" w:w="6624"/>
            <w:vAlign w:val="top"/>
            <w:tcMar>
              <w:top w:w="80" w:type="dxa"/>
              <w:start w:w="100" w:type="dxa"/>
              <w:bottom w:w="80" w:type="dxa"/>
              <w:end w:w="100" w:type="dxa"/>
            </w:tcMar>
          </w:tcPr>
          <w:p>
            <w:r>
              <w:rPr>
                <w:sz w:val="16"/>
              </w:rPr>
              <w:t>Requirements Catalog</w:t>
            </w:r>
          </w:p>
        </w:tc>
        <w:tc>
          <w:tcPr>
            <w:tcW w:type="dxa" w:w="2592"/>
            <w:vAlign w:val="top"/>
            <w:tcMar>
              <w:top w:w="80" w:type="dxa"/>
              <w:start w:w="100" w:type="dxa"/>
              <w:bottom w:w="80" w:type="dxa"/>
              <w:end w:w="100" w:type="dxa"/>
            </w:tcMar>
          </w:tcPr>
          <w:p>
            <w:r>
              <w:rPr>
                <w:sz w:val="16"/>
              </w:rPr>
              <w:t>requirements/</w:t>
            </w:r>
          </w:p>
        </w:tc>
      </w:tr>
      <w:tr>
        <w:tc>
          <w:tcPr>
            <w:tcW w:type="dxa" w:w="720"/>
            <w:vAlign w:val="top"/>
            <w:tcMar>
              <w:top w:w="80" w:type="dxa"/>
              <w:start w:w="100" w:type="dxa"/>
              <w:bottom w:w="80" w:type="dxa"/>
              <w:end w:w="100" w:type="dxa"/>
            </w:tcMar>
          </w:tcPr>
          <w:p>
            <w:r>
              <w:rPr>
                <w:sz w:val="16"/>
              </w:rPr>
              <w:t>06</w:t>
            </w:r>
          </w:p>
        </w:tc>
        <w:tc>
          <w:tcPr>
            <w:tcW w:type="dxa" w:w="6624"/>
            <w:vAlign w:val="top"/>
            <w:tcMar>
              <w:top w:w="80" w:type="dxa"/>
              <w:start w:w="100" w:type="dxa"/>
              <w:bottom w:w="80" w:type="dxa"/>
              <w:end w:w="100" w:type="dxa"/>
            </w:tcMar>
          </w:tcPr>
          <w:p>
            <w:r>
              <w:rPr>
                <w:sz w:val="16"/>
              </w:rPr>
              <w:t>User Stories &amp; Acceptance Criteria</w:t>
            </w:r>
          </w:p>
        </w:tc>
        <w:tc>
          <w:tcPr>
            <w:tcW w:type="dxa" w:w="2592"/>
            <w:vAlign w:val="top"/>
            <w:tcMar>
              <w:top w:w="80" w:type="dxa"/>
              <w:start w:w="100" w:type="dxa"/>
              <w:bottom w:w="80" w:type="dxa"/>
              <w:end w:w="100" w:type="dxa"/>
            </w:tcMar>
          </w:tcPr>
          <w:p>
            <w:r>
              <w:rPr>
                <w:sz w:val="16"/>
              </w:rPr>
              <w:t>requirements/</w:t>
            </w:r>
          </w:p>
        </w:tc>
      </w:tr>
      <w:tr>
        <w:tc>
          <w:tcPr>
            <w:tcW w:type="dxa" w:w="720"/>
            <w:vAlign w:val="top"/>
            <w:tcMar>
              <w:top w:w="80" w:type="dxa"/>
              <w:start w:w="100" w:type="dxa"/>
              <w:bottom w:w="80" w:type="dxa"/>
              <w:end w:w="100" w:type="dxa"/>
            </w:tcMar>
          </w:tcPr>
          <w:p>
            <w:r>
              <w:rPr>
                <w:sz w:val="16"/>
              </w:rPr>
              <w:t>07</w:t>
            </w:r>
          </w:p>
        </w:tc>
        <w:tc>
          <w:tcPr>
            <w:tcW w:type="dxa" w:w="6624"/>
            <w:vAlign w:val="top"/>
            <w:tcMar>
              <w:top w:w="80" w:type="dxa"/>
              <w:start w:w="100" w:type="dxa"/>
              <w:bottom w:w="80" w:type="dxa"/>
              <w:end w:w="100" w:type="dxa"/>
            </w:tcMar>
          </w:tcPr>
          <w:p>
            <w:r>
              <w:rPr>
                <w:sz w:val="16"/>
              </w:rPr>
              <w:t>Requirements Traceability Matrix</w:t>
            </w:r>
          </w:p>
        </w:tc>
        <w:tc>
          <w:tcPr>
            <w:tcW w:type="dxa" w:w="2592"/>
            <w:vAlign w:val="top"/>
            <w:tcMar>
              <w:top w:w="80" w:type="dxa"/>
              <w:start w:w="100" w:type="dxa"/>
              <w:bottom w:w="80" w:type="dxa"/>
              <w:end w:w="100" w:type="dxa"/>
            </w:tcMar>
          </w:tcPr>
          <w:p>
            <w:r>
              <w:rPr>
                <w:sz w:val="16"/>
              </w:rPr>
              <w:t>traceability/</w:t>
            </w:r>
          </w:p>
        </w:tc>
      </w:tr>
      <w:tr>
        <w:tc>
          <w:tcPr>
            <w:tcW w:type="dxa" w:w="720"/>
            <w:vAlign w:val="top"/>
            <w:tcMar>
              <w:top w:w="80" w:type="dxa"/>
              <w:start w:w="100" w:type="dxa"/>
              <w:bottom w:w="80" w:type="dxa"/>
              <w:end w:w="100" w:type="dxa"/>
            </w:tcMar>
          </w:tcPr>
          <w:p>
            <w:r>
              <w:rPr>
                <w:sz w:val="16"/>
              </w:rPr>
              <w:t>08</w:t>
            </w:r>
          </w:p>
        </w:tc>
        <w:tc>
          <w:tcPr>
            <w:tcW w:type="dxa" w:w="6624"/>
            <w:vAlign w:val="top"/>
            <w:tcMar>
              <w:top w:w="80" w:type="dxa"/>
              <w:start w:w="100" w:type="dxa"/>
              <w:bottom w:w="80" w:type="dxa"/>
              <w:end w:w="100" w:type="dxa"/>
            </w:tcMar>
          </w:tcPr>
          <w:p>
            <w:r>
              <w:rPr>
                <w:sz w:val="16"/>
              </w:rPr>
              <w:t>UAT Plan &amp; Test Cases</w:t>
            </w:r>
          </w:p>
        </w:tc>
        <w:tc>
          <w:tcPr>
            <w:tcW w:type="dxa" w:w="2592"/>
            <w:vAlign w:val="top"/>
            <w:tcMar>
              <w:top w:w="80" w:type="dxa"/>
              <w:start w:w="100" w:type="dxa"/>
              <w:bottom w:w="80" w:type="dxa"/>
              <w:end w:w="100" w:type="dxa"/>
            </w:tcMar>
          </w:tcPr>
          <w:p>
            <w:r>
              <w:rPr>
                <w:sz w:val="16"/>
              </w:rPr>
              <w:t>testing/</w:t>
            </w:r>
          </w:p>
        </w:tc>
      </w:tr>
      <w:tr>
        <w:tc>
          <w:tcPr>
            <w:tcW w:type="dxa" w:w="720"/>
            <w:vAlign w:val="top"/>
            <w:tcMar>
              <w:top w:w="80" w:type="dxa"/>
              <w:start w:w="100" w:type="dxa"/>
              <w:bottom w:w="80" w:type="dxa"/>
              <w:end w:w="100" w:type="dxa"/>
            </w:tcMar>
          </w:tcPr>
          <w:p>
            <w:r>
              <w:rPr>
                <w:sz w:val="16"/>
              </w:rPr>
              <w:t>09</w:t>
            </w:r>
          </w:p>
        </w:tc>
        <w:tc>
          <w:tcPr>
            <w:tcW w:type="dxa" w:w="6624"/>
            <w:vAlign w:val="top"/>
            <w:tcMar>
              <w:top w:w="80" w:type="dxa"/>
              <w:start w:w="100" w:type="dxa"/>
              <w:bottom w:w="80" w:type="dxa"/>
              <w:end w:w="100" w:type="dxa"/>
            </w:tcMar>
          </w:tcPr>
          <w:p>
            <w:r>
              <w:rPr>
                <w:sz w:val="16"/>
              </w:rPr>
              <w:t>Solution Evaluation &amp; Recommendations</w:t>
            </w:r>
          </w:p>
        </w:tc>
        <w:tc>
          <w:tcPr>
            <w:tcW w:type="dxa" w:w="2592"/>
            <w:vAlign w:val="top"/>
            <w:tcMar>
              <w:top w:w="80" w:type="dxa"/>
              <w:start w:w="100" w:type="dxa"/>
              <w:bottom w:w="80" w:type="dxa"/>
              <w:end w:w="100" w:type="dxa"/>
            </w:tcMar>
          </w:tcPr>
          <w:p>
            <w:r>
              <w:rPr>
                <w:sz w:val="16"/>
              </w:rPr>
              <w:t>evaluation/</w:t>
            </w:r>
          </w:p>
        </w:tc>
      </w:tr>
      <w:tr>
        <w:tc>
          <w:tcPr>
            <w:tcW w:type="dxa" w:w="720"/>
            <w:vAlign w:val="top"/>
            <w:tcMar>
              <w:top w:w="80" w:type="dxa"/>
              <w:start w:w="100" w:type="dxa"/>
              <w:bottom w:w="80" w:type="dxa"/>
              <w:end w:w="100" w:type="dxa"/>
            </w:tcMar>
          </w:tcPr>
          <w:p>
            <w:r>
              <w:rPr>
                <w:sz w:val="16"/>
              </w:rPr>
              <w:t>10</w:t>
            </w:r>
          </w:p>
        </w:tc>
        <w:tc>
          <w:tcPr>
            <w:tcW w:type="dxa" w:w="6624"/>
            <w:vAlign w:val="top"/>
            <w:tcMar>
              <w:top w:w="80" w:type="dxa"/>
              <w:start w:w="100" w:type="dxa"/>
              <w:bottom w:w="80" w:type="dxa"/>
              <w:end w:w="100" w:type="dxa"/>
            </w:tcMar>
          </w:tcPr>
          <w:p>
            <w:r>
              <w:rPr>
                <w:sz w:val="16"/>
              </w:rPr>
              <w:t>Decision &amp; Assumption Log</w:t>
            </w:r>
          </w:p>
        </w:tc>
        <w:tc>
          <w:tcPr>
            <w:tcW w:type="dxa" w:w="2592"/>
            <w:vAlign w:val="top"/>
            <w:tcMar>
              <w:top w:w="80" w:type="dxa"/>
              <w:start w:w="100" w:type="dxa"/>
              <w:bottom w:w="80" w:type="dxa"/>
              <w:end w:w="100" w:type="dxa"/>
            </w:tcMar>
          </w:tcPr>
          <w:p>
            <w:r>
              <w:rPr>
                <w:sz w:val="16"/>
              </w:rPr>
              <w:t>project-management/</w:t>
            </w:r>
          </w:p>
        </w:tc>
      </w:tr>
      <w:tr>
        <w:tc>
          <w:tcPr>
            <w:tcW w:type="dxa" w:w="720"/>
            <w:vAlign w:val="top"/>
            <w:tcMar>
              <w:top w:w="80" w:type="dxa"/>
              <w:start w:w="100" w:type="dxa"/>
              <w:bottom w:w="80" w:type="dxa"/>
              <w:end w:w="100" w:type="dxa"/>
            </w:tcMar>
          </w:tcPr>
          <w:p>
            <w:r>
              <w:rPr>
                <w:sz w:val="16"/>
              </w:rPr>
              <w:t>11</w:t>
            </w:r>
          </w:p>
        </w:tc>
        <w:tc>
          <w:tcPr>
            <w:tcW w:type="dxa" w:w="6624"/>
            <w:vAlign w:val="top"/>
            <w:tcMar>
              <w:top w:w="80" w:type="dxa"/>
              <w:start w:w="100" w:type="dxa"/>
              <w:bottom w:w="80" w:type="dxa"/>
              <w:end w:w="100" w:type="dxa"/>
            </w:tcMar>
          </w:tcPr>
          <w:p>
            <w:r>
              <w:rPr>
                <w:sz w:val="16"/>
              </w:rPr>
              <w:t>Jira-ready Backlog Import</w:t>
            </w:r>
          </w:p>
        </w:tc>
        <w:tc>
          <w:tcPr>
            <w:tcW w:type="dxa" w:w="2592"/>
            <w:vAlign w:val="top"/>
            <w:tcMar>
              <w:top w:w="80" w:type="dxa"/>
              <w:start w:w="100" w:type="dxa"/>
              <w:bottom w:w="80" w:type="dxa"/>
              <w:end w:w="100" w:type="dxa"/>
            </w:tcMar>
          </w:tcPr>
          <w:p>
            <w:r>
              <w:rPr>
                <w:sz w:val="16"/>
              </w:rPr>
              <w:t>jira/</w:t>
            </w:r>
          </w:p>
        </w:tc>
      </w:tr>
      <w:tr>
        <w:tc>
          <w:tcPr>
            <w:tcW w:type="dxa" w:w="720"/>
            <w:vAlign w:val="top"/>
            <w:tcMar>
              <w:top w:w="80" w:type="dxa"/>
              <w:start w:w="100" w:type="dxa"/>
              <w:bottom w:w="80" w:type="dxa"/>
              <w:end w:w="100" w:type="dxa"/>
            </w:tcMar>
          </w:tcPr>
          <w:p>
            <w:r>
              <w:rPr>
                <w:sz w:val="16"/>
              </w:rPr>
              <w:t>12</w:t>
            </w:r>
          </w:p>
        </w:tc>
        <w:tc>
          <w:tcPr>
            <w:tcW w:type="dxa" w:w="6624"/>
            <w:vAlign w:val="top"/>
            <w:tcMar>
              <w:top w:w="80" w:type="dxa"/>
              <w:start w:w="100" w:type="dxa"/>
              <w:bottom w:w="80" w:type="dxa"/>
              <w:end w:w="100" w:type="dxa"/>
            </w:tcMar>
          </w:tcPr>
          <w:p>
            <w:r>
              <w:rPr>
                <w:sz w:val="16"/>
              </w:rPr>
              <w:t>Current-State &amp; Gap Analysis</w:t>
            </w:r>
          </w:p>
        </w:tc>
        <w:tc>
          <w:tcPr>
            <w:tcW w:type="dxa" w:w="2592"/>
            <w:vAlign w:val="top"/>
            <w:tcMar>
              <w:top w:w="80" w:type="dxa"/>
              <w:start w:w="100" w:type="dxa"/>
              <w:bottom w:w="80" w:type="dxa"/>
              <w:end w:w="100" w:type="dxa"/>
            </w:tcMar>
          </w:tcPr>
          <w:p>
            <w:r>
              <w:rPr>
                <w:sz w:val="16"/>
              </w:rPr>
              <w:t>process-analysis/</w:t>
            </w:r>
          </w:p>
        </w:tc>
      </w:tr>
      <w:tr>
        <w:tc>
          <w:tcPr>
            <w:tcW w:type="dxa" w:w="720"/>
            <w:vAlign w:val="top"/>
            <w:tcMar>
              <w:top w:w="80" w:type="dxa"/>
              <w:start w:w="100" w:type="dxa"/>
              <w:bottom w:w="80" w:type="dxa"/>
              <w:end w:w="100" w:type="dxa"/>
            </w:tcMar>
          </w:tcPr>
          <w:p>
            <w:r>
              <w:rPr>
                <w:sz w:val="16"/>
              </w:rPr>
              <w:t>13</w:t>
            </w:r>
          </w:p>
        </w:tc>
        <w:tc>
          <w:tcPr>
            <w:tcW w:type="dxa" w:w="6624"/>
            <w:vAlign w:val="top"/>
            <w:tcMar>
              <w:top w:w="80" w:type="dxa"/>
              <w:start w:w="100" w:type="dxa"/>
              <w:bottom w:w="80" w:type="dxa"/>
              <w:end w:w="100" w:type="dxa"/>
            </w:tcMar>
          </w:tcPr>
          <w:p>
            <w:r>
              <w:rPr>
                <w:sz w:val="16"/>
              </w:rPr>
              <w:t>KPI &amp; Data Dictionary</w:t>
            </w:r>
          </w:p>
        </w:tc>
        <w:tc>
          <w:tcPr>
            <w:tcW w:type="dxa" w:w="2592"/>
            <w:vAlign w:val="top"/>
            <w:tcMar>
              <w:top w:w="80" w:type="dxa"/>
              <w:start w:w="100" w:type="dxa"/>
              <w:bottom w:w="80" w:type="dxa"/>
              <w:end w:w="100" w:type="dxa"/>
            </w:tcMar>
          </w:tcPr>
          <w:p>
            <w:r>
              <w:rPr>
                <w:sz w:val="16"/>
              </w:rPr>
              <w:t>requirements/</w:t>
            </w:r>
          </w:p>
        </w:tc>
      </w:tr>
      <w:tr>
        <w:tc>
          <w:tcPr>
            <w:tcW w:type="dxa" w:w="720"/>
            <w:vAlign w:val="top"/>
            <w:tcMar>
              <w:top w:w="80" w:type="dxa"/>
              <w:start w:w="100" w:type="dxa"/>
              <w:bottom w:w="80" w:type="dxa"/>
              <w:end w:w="100" w:type="dxa"/>
            </w:tcMar>
          </w:tcPr>
          <w:p>
            <w:r>
              <w:rPr>
                <w:sz w:val="16"/>
              </w:rPr>
              <w:t>14</w:t>
            </w:r>
          </w:p>
        </w:tc>
        <w:tc>
          <w:tcPr>
            <w:tcW w:type="dxa" w:w="6624"/>
            <w:vAlign w:val="top"/>
            <w:tcMar>
              <w:top w:w="80" w:type="dxa"/>
              <w:start w:w="100" w:type="dxa"/>
              <w:bottom w:w="80" w:type="dxa"/>
              <w:end w:w="100" w:type="dxa"/>
            </w:tcMar>
          </w:tcPr>
          <w:p>
            <w:r>
              <w:rPr>
                <w:sz w:val="16"/>
              </w:rPr>
              <w:t>Business Rules &amp; Data Requirements</w:t>
            </w:r>
          </w:p>
        </w:tc>
        <w:tc>
          <w:tcPr>
            <w:tcW w:type="dxa" w:w="2592"/>
            <w:vAlign w:val="top"/>
            <w:tcMar>
              <w:top w:w="80" w:type="dxa"/>
              <w:start w:w="100" w:type="dxa"/>
              <w:bottom w:w="80" w:type="dxa"/>
              <w:end w:w="100" w:type="dxa"/>
            </w:tcMar>
          </w:tcPr>
          <w:p>
            <w:r>
              <w:rPr>
                <w:sz w:val="16"/>
              </w:rPr>
              <w:t>requirements/</w:t>
            </w:r>
          </w:p>
        </w:tc>
      </w:tr>
      <w:tr>
        <w:tc>
          <w:tcPr>
            <w:tcW w:type="dxa" w:w="720"/>
            <w:vAlign w:val="top"/>
            <w:tcMar>
              <w:top w:w="80" w:type="dxa"/>
              <w:start w:w="100" w:type="dxa"/>
              <w:bottom w:w="80" w:type="dxa"/>
              <w:end w:w="100" w:type="dxa"/>
            </w:tcMar>
          </w:tcPr>
          <w:p>
            <w:r>
              <w:rPr>
                <w:sz w:val="16"/>
              </w:rPr>
              <w:t>15</w:t>
            </w:r>
          </w:p>
        </w:tc>
        <w:tc>
          <w:tcPr>
            <w:tcW w:type="dxa" w:w="6624"/>
            <w:vAlign w:val="top"/>
            <w:tcMar>
              <w:top w:w="80" w:type="dxa"/>
              <w:start w:w="100" w:type="dxa"/>
              <w:bottom w:w="80" w:type="dxa"/>
              <w:end w:w="100" w:type="dxa"/>
            </w:tcMar>
          </w:tcPr>
          <w:p>
            <w:r>
              <w:rPr>
                <w:sz w:val="16"/>
              </w:rPr>
              <w:t>Requirements Prioritization</w:t>
            </w:r>
          </w:p>
        </w:tc>
        <w:tc>
          <w:tcPr>
            <w:tcW w:type="dxa" w:w="2592"/>
            <w:vAlign w:val="top"/>
            <w:tcMar>
              <w:top w:w="80" w:type="dxa"/>
              <w:start w:w="100" w:type="dxa"/>
              <w:bottom w:w="80" w:type="dxa"/>
              <w:end w:w="100" w:type="dxa"/>
            </w:tcMar>
          </w:tcPr>
          <w:p>
            <w:r>
              <w:rPr>
                <w:sz w:val="16"/>
              </w:rPr>
              <w:t>requirements/</w:t>
            </w:r>
          </w:p>
        </w:tc>
      </w:tr>
      <w:tr>
        <w:tc>
          <w:tcPr>
            <w:tcW w:type="dxa" w:w="720"/>
            <w:vAlign w:val="top"/>
            <w:tcMar>
              <w:top w:w="80" w:type="dxa"/>
              <w:start w:w="100" w:type="dxa"/>
              <w:bottom w:w="80" w:type="dxa"/>
              <w:end w:w="100" w:type="dxa"/>
            </w:tcMar>
          </w:tcPr>
          <w:p>
            <w:r>
              <w:rPr>
                <w:sz w:val="16"/>
              </w:rPr>
              <w:t>16</w:t>
            </w:r>
          </w:p>
        </w:tc>
        <w:tc>
          <w:tcPr>
            <w:tcW w:type="dxa" w:w="6624"/>
            <w:vAlign w:val="top"/>
            <w:tcMar>
              <w:top w:w="80" w:type="dxa"/>
              <w:start w:w="100" w:type="dxa"/>
              <w:bottom w:w="80" w:type="dxa"/>
              <w:end w:w="100" w:type="dxa"/>
            </w:tcMar>
          </w:tcPr>
          <w:p>
            <w:r>
              <w:rPr>
                <w:sz w:val="16"/>
              </w:rPr>
              <w:t>RAID Log</w:t>
            </w:r>
          </w:p>
        </w:tc>
        <w:tc>
          <w:tcPr>
            <w:tcW w:type="dxa" w:w="2592"/>
            <w:vAlign w:val="top"/>
            <w:tcMar>
              <w:top w:w="80" w:type="dxa"/>
              <w:start w:w="100" w:type="dxa"/>
              <w:bottom w:w="80" w:type="dxa"/>
              <w:end w:w="100" w:type="dxa"/>
            </w:tcMar>
          </w:tcPr>
          <w:p>
            <w:r>
              <w:rPr>
                <w:sz w:val="16"/>
              </w:rPr>
              <w:t>project-management/</w:t>
            </w:r>
          </w:p>
        </w:tc>
      </w:tr>
      <w:tr>
        <w:tc>
          <w:tcPr>
            <w:tcW w:type="dxa" w:w="720"/>
            <w:vAlign w:val="top"/>
            <w:tcMar>
              <w:top w:w="80" w:type="dxa"/>
              <w:start w:w="100" w:type="dxa"/>
              <w:bottom w:w="80" w:type="dxa"/>
              <w:end w:w="100" w:type="dxa"/>
            </w:tcMar>
          </w:tcPr>
          <w:p>
            <w:r>
              <w:rPr>
                <w:sz w:val="16"/>
              </w:rPr>
              <w:t>17</w:t>
            </w:r>
          </w:p>
        </w:tc>
        <w:tc>
          <w:tcPr>
            <w:tcW w:type="dxa" w:w="6624"/>
            <w:vAlign w:val="top"/>
            <w:tcMar>
              <w:top w:w="80" w:type="dxa"/>
              <w:start w:w="100" w:type="dxa"/>
              <w:bottom w:w="80" w:type="dxa"/>
              <w:end w:w="100" w:type="dxa"/>
            </w:tcMar>
          </w:tcPr>
          <w:p>
            <w:r>
              <w:rPr>
                <w:sz w:val="16"/>
              </w:rPr>
              <w:t>Solution Verification</w:t>
            </w:r>
          </w:p>
        </w:tc>
        <w:tc>
          <w:tcPr>
            <w:tcW w:type="dxa" w:w="2592"/>
            <w:vAlign w:val="top"/>
            <w:tcMar>
              <w:top w:w="80" w:type="dxa"/>
              <w:start w:w="100" w:type="dxa"/>
              <w:bottom w:w="80" w:type="dxa"/>
              <w:end w:w="100" w:type="dxa"/>
            </w:tcMar>
          </w:tcPr>
          <w:p>
            <w:r>
              <w:rPr>
                <w:sz w:val="16"/>
              </w:rPr>
              <w:t>testing/</w:t>
            </w:r>
          </w:p>
        </w:tc>
      </w:tr>
      <w:tr>
        <w:tc>
          <w:tcPr>
            <w:tcW w:type="dxa" w:w="720"/>
            <w:vAlign w:val="top"/>
            <w:tcMar>
              <w:top w:w="80" w:type="dxa"/>
              <w:start w:w="100" w:type="dxa"/>
              <w:bottom w:w="80" w:type="dxa"/>
              <w:end w:w="100" w:type="dxa"/>
            </w:tcMar>
          </w:tcPr>
          <w:p>
            <w:r>
              <w:rPr>
                <w:sz w:val="16"/>
              </w:rPr>
              <w:t>18</w:t>
            </w:r>
          </w:p>
        </w:tc>
        <w:tc>
          <w:tcPr>
            <w:tcW w:type="dxa" w:w="6624"/>
            <w:vAlign w:val="top"/>
            <w:tcMar>
              <w:top w:w="80" w:type="dxa"/>
              <w:start w:w="100" w:type="dxa"/>
              <w:bottom w:w="80" w:type="dxa"/>
              <w:end w:w="100" w:type="dxa"/>
            </w:tcMar>
          </w:tcPr>
          <w:p>
            <w:r>
              <w:rPr>
                <w:sz w:val="16"/>
              </w:rPr>
              <w:t>Implementation &amp; Change Considerations</w:t>
            </w:r>
          </w:p>
        </w:tc>
        <w:tc>
          <w:tcPr>
            <w:tcW w:type="dxa" w:w="2592"/>
            <w:vAlign w:val="top"/>
            <w:tcMar>
              <w:top w:w="80" w:type="dxa"/>
              <w:start w:w="100" w:type="dxa"/>
              <w:bottom w:w="80" w:type="dxa"/>
              <w:end w:w="100" w:type="dxa"/>
            </w:tcMar>
          </w:tcPr>
          <w:p>
            <w:r>
              <w:rPr>
                <w:sz w:val="16"/>
              </w:rPr>
              <w:t>implementation/</w:t>
            </w:r>
          </w:p>
        </w:tc>
      </w:tr>
      <w:tr>
        <w:tc>
          <w:tcPr>
            <w:tcW w:type="dxa" w:w="720"/>
            <w:vAlign w:val="top"/>
            <w:tcMar>
              <w:top w:w="80" w:type="dxa"/>
              <w:start w:w="100" w:type="dxa"/>
              <w:bottom w:w="80" w:type="dxa"/>
              <w:end w:w="100" w:type="dxa"/>
            </w:tcMar>
          </w:tcPr>
          <w:p>
            <w:r>
              <w:rPr>
                <w:sz w:val="16"/>
              </w:rPr>
              <w:t>19</w:t>
            </w:r>
          </w:p>
        </w:tc>
        <w:tc>
          <w:tcPr>
            <w:tcW w:type="dxa" w:w="6624"/>
            <w:vAlign w:val="top"/>
            <w:tcMar>
              <w:top w:w="80" w:type="dxa"/>
              <w:start w:w="100" w:type="dxa"/>
              <w:bottom w:w="80" w:type="dxa"/>
              <w:end w:w="100" w:type="dxa"/>
            </w:tcMar>
          </w:tcPr>
          <w:p>
            <w:r>
              <w:rPr>
                <w:sz w:val="16"/>
              </w:rPr>
              <w:t>Project Reflection</w:t>
            </w:r>
          </w:p>
        </w:tc>
        <w:tc>
          <w:tcPr>
            <w:tcW w:type="dxa" w:w="2592"/>
            <w:vAlign w:val="top"/>
            <w:tcMar>
              <w:top w:w="80" w:type="dxa"/>
              <w:start w:w="100" w:type="dxa"/>
              <w:bottom w:w="80" w:type="dxa"/>
              <w:end w:w="100" w:type="dxa"/>
            </w:tcMar>
          </w:tcPr>
          <w:p>
            <w:r>
              <w:rPr>
                <w:sz w:val="16"/>
              </w:rPr>
              <w:t>reflection/</w:t>
            </w:r>
          </w:p>
        </w:tc>
      </w:tr>
    </w:tbl>
    <w:p>
      <w:pPr>
        <w:pStyle w:val="Heading2"/>
      </w:pPr>
      <w:r>
        <w:t>Public source references</w:t>
      </w:r>
    </w:p>
    <w:p>
      <w:pPr>
        <w:pStyle w:val="ListBullet"/>
      </w:pPr>
      <w:hyperlink r:id="rId16">
        <w:r>
          <w:rPr>
            <w:color w:val="0563C1"/>
            <w:u w:val="single"/>
          </w:rPr>
          <w:t>City of San Diego Get It Done Reports dataset</w:t>
        </w:r>
      </w:hyperlink>
    </w:p>
    <w:p>
      <w:pPr>
        <w:pStyle w:val="ListBullet"/>
      </w:pPr>
      <w:hyperlink r:id="rId17">
        <w:r>
          <w:rPr>
            <w:color w:val="0563C1"/>
            <w:u w:val="single"/>
          </w:rPr>
          <w:t>Tips for working with Get It Done data</w:t>
        </w:r>
      </w:hyperlink>
    </w:p>
    <w:p>
      <w:pPr>
        <w:pStyle w:val="ListBullet"/>
      </w:pPr>
      <w:hyperlink r:id="rId18">
        <w:r>
          <w:rPr>
            <w:color w:val="0563C1"/>
            <w:u w:val="single"/>
          </w:rPr>
          <w:t>Get It Done status FAQ</w:t>
        </w:r>
      </w:hyperlink>
    </w:p>
    <w:p>
      <w:pPr>
        <w:pStyle w:val="ListBullet"/>
      </w:pPr>
      <w:hyperlink r:id="rId13">
        <w:r>
          <w:rPr>
            <w:color w:val="0563C1"/>
            <w:u w:val="single"/>
          </w:rPr>
          <w:t>Companion analytics repository</w:t>
        </w:r>
      </w:hyperlink>
    </w:p>
    <w:sectPr w:rsidR="00FC693F" w:rsidRPr="0006063C" w:rsidSect="00034616">
      <w:headerReference w:type="default" r:id="rId9"/>
      <w:footerReference w:type="default" r:id="rId10"/>
      <w:pgSz w:w="12240" w:h="15840"/>
      <w:pgMar w:top="864"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5"/>
      </w:rPr>
      <w:t>Portfolio Case Study | Chase Brangham |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2F5597"/>
        <w:sz w:val="15"/>
      </w:rPr>
      <w:t>SAN DIEGO SERVICE OPERATIONS | MASTER BA CASE STUDY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1F1F1F"/>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2F559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seNote">
    <w:name w:val="Case Note"/>
    <w:rPr>
      <w:rFonts w:ascii="Aptos" w:hAnsi="Aptos"/>
      <w:i/>
      <w:color w:val="66666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github.com/ChaseBrangham/san-diego-service-operations" TargetMode="External"/><Relationship Id="rId14" Type="http://schemas.openxmlformats.org/officeDocument/2006/relationships/hyperlink" Target="https://raw.githubusercontent.com/ChaseBrangham/san-diego-service-operations/main/images/executive-overview.png" TargetMode="External"/><Relationship Id="rId15" Type="http://schemas.openxmlformats.org/officeDocument/2006/relationships/hyperlink" Target="https://raw.githubusercontent.com/ChaseBrangham/san-diego-service-operations/main/images/backlog-process-analysis.png" TargetMode="External"/><Relationship Id="rId16" Type="http://schemas.openxmlformats.org/officeDocument/2006/relationships/hyperlink" Target="https://data.sandiego.gov/datasets/get-it-done-reports/" TargetMode="External"/><Relationship Id="rId17" Type="http://schemas.openxmlformats.org/officeDocument/2006/relationships/hyperlink" Target="https://data.sandiego.gov/help/articles/tips-getitdone-311-requests/" TargetMode="External"/><Relationship Id="rId18" Type="http://schemas.openxmlformats.org/officeDocument/2006/relationships/hyperlink" Target="https://getitdone.sandiego.gov/TSWCommunityFAQ" TargetMode="External"/><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