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media/image4.svg" ContentType="image/svg+xml"/>
  <Override PartName="/word/media/image5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L2命题任务-从零实现一个 TUI 终端编码 Agent（发布版）</w:t>
      </w:r>
    </w:p>
    <w:p>
      <w:pPr>
        <w:pStyle w:val="4"/>
        <w:jc w:val="left"/>
      </w:pPr>
      <w:r>
        <w:rPr/>
        <w:t>一、题目说明</w:t>
      </w:r>
    </w:p>
    <w:p>
      <w:pPr>
        <w:jc w:val="left"/>
      </w:pPr>
      <w:r>
        <w:rPr/>
        <w:t xml:space="preserve">请从零实现一个最小可用的 </w:t>
      </w:r>
      <w:r>
        <w:rPr>
          <w:b/>
          <w:bCs/>
        </w:rPr>
        <w:t>TUI 终端编码 Agent</w:t>
      </w:r>
      <w:r>
        <w:rPr/>
        <w:t>。</w:t>
      </w:r>
    </w:p>
    <w:p>
      <w:pPr>
        <w:jc w:val="left"/>
      </w:pPr>
      <w:r>
        <w:rPr/>
        <w:t xml:space="preserve">这里的 </w:t>
      </w:r>
      <w:r>
        <w:rPr>
          <w:b/>
          <w:bCs/>
        </w:rPr>
        <w:t>TUI</w:t>
      </w:r>
      <w:r>
        <w:rPr/>
        <w:t xml:space="preserve"> 指 Terminal User Interface，即运行在终端中的图形化交互界面。程序应在终端内提供结构化的输入、输出、状态展示和交互确认能力。</w:t>
      </w:r>
    </w:p>
    <w:p>
      <w:pPr>
        <w:jc w:val="left"/>
      </w:pPr>
      <w:r>
        <w:rPr/>
        <w:t>用户在终端交互界面中通过自然语言下达开发任务。Agent 需要结合当前代码仓库上下文理解任务意图，自主规划执行步骤，完成必要的工具调用，并在工具结果基础上继续推理，直到任务完成、失败终止或给出明确回复。</w:t>
      </w:r>
    </w:p>
    <w:p>
      <w:pPr>
        <w:jc w:val="left"/>
      </w:pPr>
      <w:r>
        <w:rPr/>
        <w:t xml:space="preserve">本题对应 Claude Code、Cursor Agent、Codex CLI、Gemini CLI 等终端 AI 编程工具的最小核心形态，重点考察候选人对 </w:t>
      </w:r>
      <w:r>
        <w:rPr>
          <w:b/>
          <w:bCs/>
        </w:rPr>
        <w:t>Agent Loop、工具系统、权限控制、LLM Provider 接入、会话上下文、配置管理和 TUI 交互体验</w:t>
      </w:r>
      <w:r>
        <w:rPr/>
        <w:t xml:space="preserve"> 的工程实现能力。</w:t>
      </w:r>
    </w:p>
    <w:p>
      <w:pPr>
        <w:pStyle w:val="4"/>
        <w:jc w:val="left"/>
      </w:pPr>
      <w:r>
        <w:rPr/>
        <w:t>二、功能要求</w:t>
      </w:r>
    </w:p>
    <w:p>
      <w:pPr>
        <w:jc w:val="left"/>
      </w:pPr>
      <w:r>
        <w:rPr/>
        <w:t xml:space="preserve">候选人需要提交一个可运行的本地程序。程序必须以 </w:t>
      </w:r>
      <w:r>
        <w:rPr>
          <w:b/>
          <w:bCs/>
        </w:rPr>
        <w:t>TUI 形式</w:t>
      </w:r>
      <w:r>
        <w:rPr/>
        <w:t>呈现。界面应展示用户输入、模型回复、工具调用过程、工具执行结果、权限确认信息和当前运行状态，使用户能够了解 Agent 当前正在执行的任务和所处阶段。</w:t>
      </w:r>
    </w:p>
    <w:p>
      <w:pPr>
        <w:jc w:val="left"/>
      </w:pPr>
      <w:r>
        <w:rPr/>
        <w:t xml:space="preserve">Agent 需要实现完整的 </w:t>
      </w:r>
      <w:r>
        <w:rPr>
          <w:b/>
          <w:bCs/>
        </w:rPr>
        <w:t>模型决策—工具调用—结果回传—继续推理</w:t>
      </w:r>
      <w:r>
        <w:rPr/>
        <w:t xml:space="preserve"> 流程。对于需要仓库上下文或执行结果的任务，Agent 应主动读取文件、搜索代码、执行必要命令，并根据工具结果继续判断后续动作。</w:t>
      </w:r>
    </w:p>
    <w:p>
      <w:pPr>
        <w:jc w:val="left"/>
      </w:pPr>
      <w:r>
        <w:rPr/>
        <w:t xml:space="preserve">Agent 需要具备基础代码仓库操作能力，包括 </w:t>
      </w:r>
      <w:r>
        <w:rPr>
          <w:b/>
          <w:bCs/>
        </w:rPr>
        <w:t>目录浏览、文件读取、文件匹配、内容搜索、文件写入或编辑，以及 Shell 命令执行</w:t>
      </w:r>
      <w:r>
        <w:rPr/>
        <w:t>。工具应以结构化方式暴露给模型使用，并具备清晰的输入、输出和错误返回机制。</w:t>
      </w:r>
    </w:p>
    <w:p>
      <w:pPr>
        <w:jc w:val="left"/>
      </w:pPr>
      <w:r>
        <w:rPr/>
        <w:t>Agent 必须具备基础权限控制。</w:t>
      </w:r>
      <w:r>
        <w:rPr>
          <w:b/>
          <w:bCs/>
        </w:rPr>
        <w:t>只读类操作可以自动执行；文件写入、文件编辑和 Shell 命令执行必须经过用户确认。</w:t>
      </w:r>
      <w:r>
        <w:rPr/>
        <w:t xml:space="preserve"> 用户拒绝授权时，对应操作不得执行，拒绝结果应进入会话上下文。</w:t>
      </w:r>
    </w:p>
    <w:p>
      <w:pPr>
        <w:jc w:val="left"/>
      </w:pPr>
      <w:r>
        <w:rPr/>
        <w:t>Agent 需要支持接入</w:t>
      </w:r>
      <w:r>
        <w:rPr>
          <w:b/>
          <w:bCs/>
        </w:rPr>
        <w:t>WPS CodingPlan协议</w:t>
      </w:r>
      <w:r>
        <w:rPr/>
        <w:t>。程序具备工具调用解析、流式输出、超时控制和基础重试等能力。</w:t>
      </w:r>
    </w:p>
    <w:p>
      <w:pPr>
        <w:jc w:val="left"/>
      </w:pPr>
      <w:r>
        <w:rPr/>
        <w:fldChar w:fldCharType="begin"/>
      </w:r>
      <w:r>
        <w:rPr/>
        <w:instrText xml:space="preserve"> HYPERLINK "https://365.kdocs.cn/l/cgp9RW4qH9iQ" </w:instrText>
      </w:r>
      <w:r>
        <w:rPr/>
        <w:fldChar w:fldCharType="separate"/>
      </w:r>
      <w:r>
        <w:rPr>
          <w:position w:val="-4"/>
        </w:rPr>
        <w:drawing>
          <wp:inline distT="0" distB="0" distL="0" distR="0">
            <wp:extent cx="139700" cy="139700"/>
            <wp:effectExtent l="0" t="0" r="0" b="0"/>
            <wp:docPr id="1" name="Picture 5" descr="o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ot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color w:val="0a6cff"/>
        </w:rPr>
        <w:t>Coding Plan平台使用手册</w:t>
      </w:r>
      <w:r>
        <w:rPr/>
        <w:fldChar w:fldCharType="end"/>
      </w:r>
    </w:p>
    <w:p>
      <w:pPr>
        <w:pStyle w:val="4"/>
        <w:jc w:val="left"/>
      </w:pPr>
      <w:r>
        <w:rPr/>
        <w:t>三、会话、配置与内置命令</w:t>
      </w:r>
    </w:p>
    <w:p>
      <w:pPr>
        <w:jc w:val="left"/>
      </w:pPr>
      <w:r>
        <w:rPr/>
        <w:t>程序需要支持多轮会话上下文管理。用户输入、模型回复、工具调用、工具执行结果、权限拒绝结果和错误信息都应进入会话历史。</w:t>
      </w:r>
    </w:p>
    <w:p>
      <w:pPr>
        <w:jc w:val="left"/>
      </w:pPr>
      <w:r>
        <w:rPr/>
        <w:t xml:space="preserve">程序需要支持用户级配置和项目级配置，并满足 </w:t>
      </w:r>
      <w:r>
        <w:rPr>
          <w:b/>
          <w:bCs/>
        </w:rPr>
        <w:t>项目级配置优先于用户级配置</w:t>
      </w:r>
      <w:r>
        <w:rPr/>
        <w:t>。配置内容应覆盖 Provider、模型、API 地址、超时时间、最大循环轮次等基础信息。</w:t>
      </w:r>
      <w:r>
        <w:rPr>
          <w:b/>
          <w:bCs/>
        </w:rPr>
        <w:t>API Key 等敏感信息不得暴露。</w:t>
      </w:r>
    </w:p>
    <w:p>
      <w:pPr>
        <w:jc w:val="left"/>
      </w:pPr>
      <w:r>
        <w:rPr/>
        <w:t>TUI 中应提供基础内置命令，用于查看帮助、清空当前会话、查看或切换当前模型、查看运行状态和退出程序。</w:t>
      </w:r>
    </w:p>
    <w:p>
      <w:pPr>
        <w:pStyle w:val="4"/>
        <w:jc w:val="left"/>
      </w:pPr>
      <w:r>
        <w:rPr/>
        <w:t>四、实现约束</w:t>
      </w:r>
    </w:p>
    <w:p>
      <w:pPr>
        <w:numPr>
          <w:ilvl w:val="0"/>
          <w:numId w:val="3"/>
        </w:numPr>
        <w:jc w:val="left"/>
      </w:pPr>
      <w:r>
        <w:rPr/>
        <w:t>候选人可以使用第三方库接入 OpenAI、Anthropic 等模型协议，也可以使用第三方库完成 TUI 渲染、HTTP 请求、配置解析、日志记录和测试等非核心能力。</w:t>
      </w:r>
    </w:p>
    <w:p>
      <w:pPr>
        <w:numPr>
          <w:ilvl w:val="0"/>
          <w:numId w:val="3"/>
        </w:numPr>
        <w:jc w:val="left"/>
      </w:pPr>
      <w:r>
        <w:rPr/>
        <w:t xml:space="preserve">候选人不得使用第三方 Agent SDK 或 Agent Framework 直接实现 </w:t>
      </w:r>
      <w:r>
        <w:rPr>
          <w:b/>
          <w:bCs/>
        </w:rPr>
        <w:t>Agent Loop、工具系统、权限控制或会话管理</w:t>
      </w:r>
      <w:r>
        <w:rPr/>
        <w:t xml:space="preserve"> 等核心能力。上述核心逻辑应由候选人自行设计和实现。</w:t>
      </w:r>
    </w:p>
    <w:p>
      <w:pPr>
        <w:numPr>
          <w:ilvl w:val="0"/>
          <w:numId w:val="3"/>
        </w:numPr>
        <w:jc w:val="left"/>
      </w:pPr>
      <w:r>
        <w:rPr/>
        <w:t>候选人可参考开源项目获取灵感，但不得以已有项目为基底修改后提交（含 Fork、Clone 改动、整体复制重命名等）。模块职责相似属领域共性，不视为问题；评审关注实现细节与接口设计是否体现自主决策，并结合 AI 协作记录评估设计主导能力。</w:t>
      </w:r>
    </w:p>
    <w:p>
      <w:pPr>
        <w:numPr>
          <w:ilvl w:val="0"/>
          <w:numId w:val="3"/>
        </w:numPr>
        <w:jc w:val="left"/>
      </w:pPr>
      <w:r>
        <w:rPr/>
        <w:t>需自行处理和Agent的关键对话内容沉淀，存储在项目</w:t>
      </w:r>
      <w:r>
        <w:rPr>
          <w:rStyle w:val="13"/>
          <w:b/>
          <w:bCs/>
        </w:rPr>
        <w:t>.ai_history/logs/</w:t>
      </w:r>
      <w:r>
        <w:rPr>
          <w:rStyle w:val="13"/>
        </w:rPr>
        <w:t xml:space="preserve"> </w:t>
      </w:r>
      <w:r>
        <w:rPr/>
        <w:t>目录下即可。</w:t>
      </w:r>
    </w:p>
    <w:p>
      <w:pPr>
        <w:pStyle w:val="4"/>
        <w:jc w:val="left"/>
      </w:pPr>
      <w:r>
        <w:rPr/>
        <w:t>五、扩展方向</w:t>
      </w:r>
    </w:p>
    <w:p>
      <w:pPr>
        <w:jc w:val="left"/>
      </w:pPr>
      <w:r>
        <w:rPr/>
        <w:t>候选人可以在基础能力稳定的前提下进行功能扩展，扩展功能会适当加分，扩展功能的方向可以是如支持优异的上下文压缩实现等等。</w:t>
      </w:r>
    </w:p>
    <w:p>
      <w:pPr>
        <w:jc w:val="left"/>
      </w:pPr>
      <w:r>
        <w:rPr/>
        <w:t>扩展能力不应替代或弱化基础功能要求。</w:t>
      </w:r>
    </w:p>
    <w:p>
      <w:pPr>
        <w:pStyle w:val="4"/>
        <w:jc w:val="left"/>
      </w:pPr>
      <w:r>
        <w:rPr/>
        <w:t>六、交付要求说明</w:t>
      </w:r>
    </w:p>
    <w:tbl>
      <w:tblPr>
        <w:tblStyle w:val="18"/>
        <w:tblW w:w="8055.5" w:type="dxa"/>
      </w:tblPr>
      <w:tblGrid/>
      <w:tr>
        <w:tblPrEx/>
        <w:trPr/>
        <w:tc>
          <w:tcPr>
            <w:tcW w:w="8055.5" w:type="dxa"/>
            <w:shd w:val="clear" w:color="ffffff" w:fill="FAF1E6"/>
          </w:tcPr>
          <w:p>
            <w:pPr>
              <w:jc w:val="left"/>
            </w:pPr>
            <w:r>
              <w:rPr>
                <w:b/>
                <w:bCs/>
              </w:rPr>
              <w:t>遵循L2认证考核维度要求指导</w:t>
            </w:r>
          </w:p>
        </w:tc>
      </w:tr>
    </w:tbl>
    <w:p>
      <w:pPr>
        <w:numPr>
          <w:ilvl w:val="0"/>
          <w:numId w:val="4"/>
        </w:numPr>
        <w:jc w:val="left"/>
      </w:pPr>
      <w:r>
        <w:rPr/>
        <w:t>交付清单：</w:t>
      </w:r>
    </w:p>
    <w:p>
      <w:pPr>
        <w:numPr>
          <w:ilvl w:val="1"/>
          <w:numId w:val="5"/>
        </w:numPr>
        <w:jc w:val="left"/>
      </w:pPr>
      <w:r>
        <w:rPr>
          <w:b/>
          <w:bCs/>
        </w:rPr>
        <w:t>项目源码仓库</w:t>
      </w:r>
      <w:r>
        <w:rPr/>
        <w:t>：可编译运行的 TUI Agent 完整源码等</w:t>
      </w:r>
    </w:p>
    <w:p>
      <w:pPr>
        <w:numPr>
          <w:ilvl w:val="1"/>
          <w:numId w:val="5"/>
        </w:numPr>
        <w:jc w:val="left"/>
      </w:pPr>
      <w:r>
        <w:rPr>
          <w:b/>
          <w:bCs/>
          <w:color w:val="000000"/>
        </w:rPr>
        <w:t>AI协作过程记录</w:t>
      </w:r>
      <w:r>
        <w:rPr>
          <w:color w:val="000000"/>
        </w:rPr>
        <w:t>：</w:t>
      </w:r>
      <w:r>
        <w:rPr>
          <w:rStyle w:val="13"/>
          <w:b/>
          <w:bCs/>
          <w:color w:val="080F17"/>
        </w:rPr>
        <w:t>.ai_history/logs/</w:t>
      </w:r>
      <w:r>
        <w:rPr>
          <w:color w:val="000000"/>
        </w:rPr>
        <w:t xml:space="preserve"> 目录（</w:t>
      </w:r>
      <w:r>
        <w:rPr>
          <w:color w:val="000000"/>
          <w:sz w:val="18"/>
          <w:szCs w:val="18"/>
        </w:rPr>
        <w:t>第四节要求，必须提交至源码仓库</w:t>
      </w:r>
      <w:r>
        <w:rPr>
          <w:color w:val="000000"/>
        </w:rPr>
        <w:t>）</w:t>
      </w:r>
    </w:p>
    <w:p>
      <w:pPr>
        <w:numPr>
          <w:ilvl w:val="1"/>
          <w:numId w:val="5"/>
        </w:numPr>
        <w:jc w:val="left"/>
      </w:pPr>
      <w:r>
        <w:rPr/>
        <w:t>可运行的验证产物：放置在源码目录</w:t>
      </w:r>
      <w:r>
        <w:rPr>
          <w:rStyle w:val="13"/>
        </w:rPr>
        <w:t>deliverables/</w:t>
      </w:r>
      <w:r>
        <w:rPr/>
        <w:t>下，详见第2点阐述</w:t>
      </w:r>
    </w:p>
    <w:p>
      <w:pPr>
        <w:numPr>
          <w:ilvl w:val="0"/>
          <w:numId w:val="4"/>
        </w:numPr>
        <w:jc w:val="left"/>
      </w:pPr>
      <w:r>
        <w:rPr/>
        <w:t>产物基本说明：</w:t>
      </w:r>
    </w:p>
    <w:p>
      <w:pPr>
        <w:numPr>
          <w:ilvl w:val="1"/>
          <w:numId w:val="6"/>
        </w:numPr>
        <w:jc w:val="left"/>
      </w:pPr>
      <w:r>
        <w:rPr/>
        <w:t>交付的Coding Agent应能够在真实环境中运行，并能完成一定复杂度的开发任务，例如读取项目文件、搜索代码、修改文件、执行测试命令，并根据工具返回结果继续完成任务。</w:t>
      </w:r>
    </w:p>
    <w:p>
      <w:pPr>
        <w:numPr>
          <w:ilvl w:val="1"/>
          <w:numId w:val="6"/>
        </w:numPr>
        <w:jc w:val="left"/>
      </w:pPr>
      <w:r>
        <w:rPr/>
        <w:t>项目测试范围应至少覆盖 Agent 主循环、工具调用与结果回传、权限确认与拒绝、配置优先级和 Mock LLM Provider 场景。</w:t>
      </w:r>
    </w:p>
    <w:p>
      <w:pPr>
        <w:numPr>
          <w:ilvl w:val="1"/>
          <w:numId w:val="6"/>
        </w:numPr>
        <w:jc w:val="left"/>
      </w:pPr>
      <w:r>
        <w:rPr>
          <w:b/>
          <w:bCs/>
          <w:color w:val="C21C13"/>
          <w:shd w:val="clear" w:color="ffffff" w:fill="FBF5B3"/>
        </w:rPr>
        <w:t>可运行的验证产物交付说明</w:t>
      </w:r>
      <w:r>
        <w:rPr/>
        <w:t>：自行用Code Agent完成一个小任务证明Agent可运行即可，如贪吃蛇小游戏，提供相关的关键运行截图统一放置在目录</w:t>
      </w:r>
      <w:r>
        <w:rPr>
          <w:rStyle w:val="13"/>
        </w:rPr>
        <w:t>deliverables/</w:t>
      </w:r>
      <w:r>
        <w:rPr/>
        <w:t xml:space="preserve"> 即可。</w:t>
      </w:r>
    </w:p>
    <w:p>
      <w:pPr>
        <w:pStyle w:val="4"/>
        <w:jc w:val="left"/>
      </w:pPr>
      <w:r>
        <w:rPr/>
        <w:t>七、参考项目</w:t>
      </w:r>
    </w:p>
    <w:p>
      <w:pPr>
        <w:jc w:val="left"/>
      </w:pPr>
      <w:r>
        <w:rPr/>
        <w:t>以下项目可作为实现思路参考。候选人可以参考其产品形态、交互方式和架构思路，提交结果应体现独立设计和实现。</w:t>
      </w:r>
    </w:p>
    <w:tbl>
      <w:tblPr>
        <w:tblStyle w:val="9"/>
        <w:tblW w:w="11722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3990"/>
        <w:gridCol w:w="4903"/>
      </w:tblGrid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项目</w:t>
            </w:r>
          </w:p>
        </w:tc>
        <w:tc>
          <w:tcPr>
            <w:tcW w:w="399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地址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参考重点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OpenCode</w:t>
            </w:r>
          </w:p>
        </w:tc>
        <w:tc>
          <w:tcPr>
            <w:tcW w:w="399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"https://github.com/sst/opencode" </w:instrText>
            </w:r>
            <w:r>
              <w:rPr/>
              <w:fldChar w:fldCharType="separate"/>
            </w:r>
            <w:r>
              <w:rPr>
                <w:position w:val="-4"/>
              </w:rPr>
              <w:drawing>
                <wp:inline distT="0" distB="0" distL="0" distR="0">
                  <wp:extent cx="139700" cy="139700"/>
                  <wp:effectExtent l="0" t="0" r="0" b="0"/>
                  <wp:docPr id="2" name="Picture 6" descr="YEZJSABIABQ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6" descr="YEZJSABIABQHA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10"/>
                <w:color w:val="0a6cff"/>
              </w:rPr>
              <w:t>GitHub - anomalyco/opencode: The open source coding agent.</w:t>
            </w:r>
            <w:r>
              <w:rPr/>
              <w:fldChar w:fldCharType="end"/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开源 Claude Code / Codex 替代方案，参考多 Provider、TUI、工具调用和权限控制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OpenAI Codex CLI</w:t>
            </w:r>
          </w:p>
        </w:tc>
        <w:tc>
          <w:tcPr>
            <w:tcW w:w="399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"https://github.com/openai/codex" </w:instrText>
            </w:r>
            <w:r>
              <w:rPr/>
              <w:fldChar w:fldCharType="separate"/>
            </w:r>
            <w:r>
              <w:rPr>
                <w:position w:val="-4"/>
              </w:rPr>
              <w:drawing>
                <wp:inline distT="0" distB="0" distL="0" distR="0">
                  <wp:extent cx="139700" cy="139700"/>
                  <wp:effectExtent l="0" t="0" r="0" b="0"/>
                  <wp:docPr id="3" name="Picture 7" descr="title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7" descr="titleview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10"/>
                <w:color w:val="0a6cff"/>
              </w:rPr>
              <w:t>https://github.com/openai/codex</w:t>
            </w:r>
            <w:r>
              <w:rPr/>
              <w:fldChar w:fldCharType="end"/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OpenAI 官方终端 Coding Agent，参考 Agent Loop、工具执行、代码读写和命令运行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Google Gemini CLI</w:t>
            </w:r>
          </w:p>
        </w:tc>
        <w:tc>
          <w:tcPr>
            <w:tcW w:w="399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"https://github.com/google-gemini/gemini-cli" </w:instrText>
            </w:r>
            <w:r>
              <w:rPr/>
              <w:fldChar w:fldCharType="separate"/>
            </w:r>
            <w:r>
              <w:rPr>
                <w:position w:val="-4"/>
              </w:rPr>
              <w:drawing>
                <wp:inline distT="0" distB="0" distL="0" distR="0">
                  <wp:extent cx="139700" cy="139700"/>
                  <wp:effectExtent l="0" t="0" r="0" b="0"/>
                  <wp:docPr id="4" name="Picture 8" descr="SZ4JSABIACQ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8" descr="SZ4JSABIACQEY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10"/>
                <w:color w:val="0a6cff"/>
              </w:rPr>
              <w:t>GitHub - google-gemini/gemini-cli: An open-source AI agent that brings the power of Gemini directly into your terminal.</w:t>
            </w:r>
            <w:r>
              <w:rPr/>
              <w:fldChar w:fldCharType="end"/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Google 官方终端 Agent，参考项目上下文、工具系统和模型配置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Pi / Pi Coding Agent</w:t>
            </w:r>
          </w:p>
        </w:tc>
        <w:tc>
          <w:tcPr>
            <w:tcW w:w="399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"https://github.com/earendil-works/pi" </w:instrText>
            </w:r>
            <w:r>
              <w:rPr/>
              <w:fldChar w:fldCharType="separate"/>
            </w:r>
            <w:r>
              <w:rPr>
                <w:position w:val="-4"/>
              </w:rPr>
              <w:drawing>
                <wp:inline distT="0" distB="0" distL="0" distR="0">
                  <wp:extent cx="139700" cy="139700"/>
                  <wp:effectExtent l="0" t="0" r="0" b="0"/>
                  <wp:docPr id="5" name="Picture 9" descr="4CHJSABIACQ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9" descr="4CHJSABIACQE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10"/>
                <w:color w:val="0a6cff"/>
              </w:rPr>
              <w:t>GitHub - earendil-works/pi: AI agent toolkit: unified LLM API, agent loop, TUI, coding agent CLI</w:t>
            </w:r>
            <w:r>
              <w:rPr/>
              <w:fldChar w:fldCharType="end"/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轻量级 Agent Harness，参考最小 Agent 内核、工具调用、会话机制和可扩展架构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Aider</w:t>
            </w:r>
          </w:p>
        </w:tc>
        <w:tc>
          <w:tcPr>
            <w:tcW w:w="399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"https://github.com/Aider-AI/aider" </w:instrText>
            </w:r>
            <w:r>
              <w:rPr/>
              <w:fldChar w:fldCharType="separate"/>
            </w:r>
            <w:r>
              <w:rPr>
                <w:position w:val="-4"/>
              </w:rPr>
              <w:drawing>
                <wp:inline distT="0" distB="0" distL="0" distR="0">
                  <wp:extent cx="139700" cy="139700"/>
                  <wp:effectExtent l="0" t="0" r="0" b="0"/>
                  <wp:docPr id="6" name="Picture 10" descr="OXGJSABIADA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0" descr="OXGJSABIADAAS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10"/>
                <w:color w:val="0a6cff"/>
              </w:rPr>
              <w:t>GitHub - Aider-AI/aider: aider is AI pair programming in your terminal</w:t>
            </w:r>
            <w:r>
              <w:rPr/>
              <w:fldChar w:fldCharType="end"/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成熟开源 AI Coding 工具，参考 Git Diff、代码编辑、仓库级上下文管理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Goose</w:t>
            </w:r>
          </w:p>
        </w:tc>
        <w:tc>
          <w:tcPr>
            <w:tcW w:w="399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"https://github.com/block/goose" </w:instrText>
            </w:r>
            <w:r>
              <w:rPr/>
              <w:fldChar w:fldCharType="separate"/>
            </w:r>
            <w:r>
              <w:rPr>
                <w:position w:val="-4"/>
              </w:rPr>
              <w:drawing>
                <wp:inline distT="0" distB="0" distL="0" distR="0">
                  <wp:extent cx="139700" cy="139700"/>
                  <wp:effectExtent l="0" t="0" r="0" b="0"/>
                  <wp:docPr id="7" name="Picture 7" descr="title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titleview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10"/>
                <w:color w:val="0a6cff"/>
              </w:rPr>
              <w:t>https://github.com/block/goose</w:t>
            </w:r>
            <w:r>
              <w:rPr/>
              <w:fldChar w:fldCharType="end"/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Block 开源的本地 Agent，参考本地任务自动化、工具扩展和多模型适配</w:t>
            </w:r>
          </w:p>
        </w:tc>
      </w:tr>
    </w:tbl>
    <w:p>
      <w:pPr>
        <w:jc w:val="left"/>
      </w:pPr>
      <w:r>
        <w:rPr/>
        <w:t>补充索引：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355"/>
        <w:gridCol w:w="4103"/>
        <w:gridCol w:w="4103"/>
      </w:tblGrid>
      <w:tr>
        <w:tblPrEx/>
        <w:trPr>
          <w:trHeight w:val="396"/>
        </w:trPr>
        <w:tc>
          <w:tcPr>
            <w:tcW w:w="235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项目</w:t>
            </w:r>
          </w:p>
        </w:tc>
        <w:tc>
          <w:tcPr>
            <w:tcW w:w="410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地址</w:t>
            </w:r>
          </w:p>
        </w:tc>
        <w:tc>
          <w:tcPr>
            <w:tcW w:w="410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>
        <w:tblPrEx/>
        <w:trPr>
          <w:trHeight w:val="396"/>
        </w:trPr>
        <w:tc>
          <w:tcPr>
            <w:tcW w:w="2355" w:type="dxa"/>
            <w:vAlign w:val="top"/>
          </w:tcPr>
          <w:p>
            <w:pPr>
              <w:jc w:val="left"/>
            </w:pPr>
            <w:r>
              <w:rPr/>
              <w:t>Awesome CLI Coding Agents</w:t>
            </w:r>
          </w:p>
        </w:tc>
        <w:tc>
          <w:tcPr>
            <w:tcW w:w="4103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"https://github.com/bradAGI/awesome-cli-coding-agents" </w:instrText>
            </w:r>
            <w:r>
              <w:rPr/>
              <w:fldChar w:fldCharType="separate"/>
            </w:r>
            <w:r>
              <w:rPr>
                <w:position w:val="-4"/>
              </w:rPr>
              <w:drawing>
                <wp:inline distT="0" distB="0" distL="0" distR="0">
                  <wp:extent cx="139700" cy="139700"/>
                  <wp:effectExtent l="0" t="0" r="0" b="0"/>
                  <wp:docPr id="8" name="Picture 7" descr="title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 descr="titleview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10"/>
                <w:color w:val="0a6cff"/>
              </w:rPr>
              <w:t>https://github.com/bradAGI/awesome-cli-coding-agents</w:t>
            </w:r>
            <w:r>
              <w:rPr/>
              <w:fldChar w:fldCharType="end"/>
            </w:r>
          </w:p>
        </w:tc>
        <w:tc>
          <w:tcPr>
            <w:tcW w:w="4103" w:type="dxa"/>
            <w:vAlign w:val="top"/>
          </w:tcPr>
          <w:p>
            <w:pPr>
              <w:jc w:val="left"/>
            </w:pPr>
            <w:r>
              <w:rPr/>
              <w:t>CLI Coding Agent 生态索引，可横向查看相关项目和热度</w:t>
            </w:r>
          </w:p>
        </w:tc>
      </w:tr>
    </w:tbl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5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6">
    <w:nsid w:val="20000006"/>
    <w:multiLevelType w:val="multilevel"/>
    <w:tmpl w:val="20000006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  <w:style w:type="table" w:styleId="18">
    <w:name w:val="HighlightBlock1"/>
    <w:basedOn w:val="16"/>
    <w:rPr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svg"/><Relationship Id="rId7" Type="http://schemas.openxmlformats.org/officeDocument/2006/relationships/image" Target="media/image3.png"/><Relationship Id="rId8" Type="http://schemas.openxmlformats.org/officeDocument/2006/relationships/image" Target="media/image4.svg"/><Relationship Id="rId9" Type="http://schemas.openxmlformats.org/officeDocument/2006/relationships/image" Target="media/image5.svg"/><Relationship Id="rId10" Type="http://schemas.openxmlformats.org/officeDocument/2006/relationships/image" Target="media/image6.sv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2026-06-25T19:06:41Z</dcterms:created>
  <dcterms:modified xsi:type="dcterms:W3CDTF">2026-06-25T19:06:41Z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