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2E5A"/>
          <w:sz w:val="48"/>
        </w:rPr>
        <w:t>ÉTUDE DE FAISABILITÉ</w:t>
      </w:r>
    </w:p>
    <w:p>
      <w:pPr>
        <w:jc w:val="center"/>
      </w:pPr>
      <w:r>
        <w:rPr>
          <w:color w:val="1F6EB4"/>
          <w:sz w:val="32"/>
        </w:rPr>
        <w:t>Projet PPE — Robo-Advisor « CapInvest »</w:t>
      </w:r>
    </w:p>
    <w:p/>
    <w:p>
      <w:pPr>
        <w:jc w:val="center"/>
      </w:pPr>
      <w:r>
        <w:rPr>
          <w:color w:val="666666"/>
          <w:sz w:val="22"/>
        </w:rPr>
        <w:t>Date : Mars 2026</w:t>
        <w:br/>
      </w:r>
      <w:r>
        <w:rPr>
          <w:color w:val="666666"/>
          <w:sz w:val="22"/>
        </w:rPr>
        <w:t>Équipe : 4 étudiants</w:t>
        <w:br/>
      </w:r>
      <w:r>
        <w:rPr>
          <w:color w:val="666666"/>
          <w:sz w:val="22"/>
        </w:rPr>
        <w:t>Méthode : TELOS</w:t>
        <w:br/>
      </w:r>
    </w:p>
    <w:p>
      <w:r>
        <w:br w:type="page"/>
      </w:r>
    </w:p>
    <w:p>
      <w:pPr>
        <w:pStyle w:val="Heading1"/>
      </w:pPr>
      <w:r>
        <w:rPr>
          <w:color w:val="1A2E5A"/>
          <w:sz w:val="32"/>
        </w:rPr>
        <w:t>Sommaire</w:t>
      </w:r>
    </w:p>
    <w:p>
      <w:r>
        <w:fldChar w:fldCharType="begin"/>
      </w:r>
      <w:r>
        <w:instrText xml:space="preserve">TOC \o "1-3" \h \z \u</w:instrText>
      </w:r>
      <w:r>
        <w:fldChar w:fldCharType="separate"/>
      </w:r>
      <w:r>
        <w:rPr>
          <w:i/>
          <w:color w:val="999999"/>
        </w:rPr>
        <w:t>Attention : Cliquez ici, puis clic-droit et 'Mettre à jour les champs' pour générer le sommaire.</w:t>
      </w:r>
      <w:r>
        <w:fldChar w:fldCharType="end"/>
      </w:r>
    </w:p>
    <w:p>
      <w:r>
        <w:br w:type="page"/>
      </w:r>
    </w:p>
    <w:p>
      <w:pPr>
        <w:pStyle w:val="Heading1"/>
      </w:pPr>
      <w:r>
        <w:rPr>
          <w:color w:val="1A2E5A"/>
          <w:sz w:val="32"/>
        </w:rPr>
        <w:t>1. Introduction</w:t>
      </w:r>
    </w:p>
    <w:p>
      <w:pPr>
        <w:pStyle w:val="Heading2"/>
      </w:pPr>
      <w:r>
        <w:rPr>
          <w:color w:val="1F6EB4"/>
          <w:sz w:val="26"/>
        </w:rPr>
        <w:t>1.1 Contexte du projet</w:t>
      </w:r>
    </w:p>
    <w:p>
      <w:r>
        <w:rPr>
          <w:b w:val="0"/>
          <w:i w:val="0"/>
          <w:color w:val="333333"/>
          <w:sz w:val="22"/>
        </w:rPr>
        <w:t>Notre solution consiste en la conception et le développement d'un Robo-Advisor nommé « CapInvest ». Ce projet collectif, mené par une équipe de 4 étudiants, vise à démocratiser la gestion de portefeuille financier en offrant à des utilisateurs non-experts et pris par le temps, un outil automatisé, transparent et conforme aux réglementations européennes (MiFID II).</w:t>
      </w:r>
    </w:p>
    <w:p>
      <w:r>
        <w:rPr>
          <w:b w:val="0"/>
          <w:i w:val="0"/>
          <w:color w:val="333333"/>
          <w:sz w:val="22"/>
        </w:rPr>
        <w:t>L'application est une plateforme web full-stack développée en Python, proposant : un questionnaire de profilage intelligent (Safety-First), une optimisation mathématique de portefeuille (Markowitz et Black-Litterman), un explorateur d'univers d'actifs, une section éducative (CapInvest Academy), un export PDF et une gestion des données utilisateurs conforme au RGPD.</w:t>
      </w:r>
    </w:p>
    <w:p>
      <w:pPr>
        <w:pStyle w:val="Heading2"/>
      </w:pPr>
      <w:r>
        <w:rPr>
          <w:color w:val="1F6EB4"/>
          <w:sz w:val="26"/>
        </w:rPr>
        <w:t>1.2 Objectifs de l'étude</w:t>
      </w:r>
    </w:p>
    <w:p>
      <w:pPr>
        <w:pStyle w:val="ListBullet"/>
      </w:pPr>
      <w:r>
        <w:rPr>
          <w:color w:val="333333"/>
          <w:sz w:val="22"/>
        </w:rPr>
        <w:t>Vérifier que le projet est réalisable et viable dans le contexte d'un projet pluridisciplinaire en équipe.</w:t>
      </w:r>
    </w:p>
    <w:p>
      <w:pPr>
        <w:pStyle w:val="ListBullet"/>
      </w:pPr>
      <w:r>
        <w:rPr>
          <w:color w:val="333333"/>
          <w:sz w:val="22"/>
        </w:rPr>
        <w:t>Identifier les freins et risques potentiels rencontrés ou anticipés.</w:t>
      </w:r>
    </w:p>
    <w:p>
      <w:pPr>
        <w:pStyle w:val="ListBullet"/>
      </w:pPr>
      <w:r>
        <w:rPr>
          <w:color w:val="333333"/>
          <w:sz w:val="22"/>
        </w:rPr>
        <w:t>Justifier les choix technologiques avec des éléments factuels issus du code produit.</w:t>
      </w:r>
    </w:p>
    <w:p>
      <w:pPr>
        <w:pStyle w:val="ListBullet"/>
      </w:pPr>
      <w:r>
        <w:rPr>
          <w:color w:val="333333"/>
          <w:sz w:val="22"/>
        </w:rPr>
        <w:t>Formuler des recommandations claires pour la suite du projet.</w:t>
      </w:r>
    </w:p>
    <w:p>
      <w:pPr>
        <w:pStyle w:val="Heading2"/>
      </w:pPr>
      <w:r>
        <w:rPr>
          <w:color w:val="1F6EB4"/>
          <w:sz w:val="26"/>
        </w:rPr>
        <w:t>1.3 Périmètre de l'étude</w:t>
      </w:r>
    </w:p>
    <w:p>
      <w:r>
        <w:rPr>
          <w:b w:val="0"/>
          <w:i w:val="0"/>
          <w:color w:val="333333"/>
          <w:sz w:val="22"/>
        </w:rPr>
        <w:t>L'étude porte sur l'ensemble des composants réalisés :</w:t>
      </w:r>
    </w:p>
    <w:p>
      <w:pPr>
        <w:pStyle w:val="ListBullet"/>
      </w:pPr>
      <w:r>
        <w:rPr>
          <w:color w:val="333333"/>
          <w:sz w:val="22"/>
        </w:rPr>
        <w:t>Backend API REST (Python / FastAPI) — 5 routers, 30+ endpoints</w:t>
      </w:r>
    </w:p>
    <w:p>
      <w:pPr>
        <w:pStyle w:val="ListBullet"/>
      </w:pPr>
      <w:r>
        <w:rPr>
          <w:color w:val="333333"/>
          <w:sz w:val="22"/>
        </w:rPr>
        <w:t>Base de données locale (SQLite / SQLAlchemy) — 9 modèles ORM</w:t>
      </w:r>
    </w:p>
    <w:p>
      <w:pPr>
        <w:pStyle w:val="ListBullet"/>
      </w:pPr>
      <w:r>
        <w:rPr>
          <w:color w:val="333333"/>
          <w:sz w:val="22"/>
        </w:rPr>
        <w:t>Moteur d'optimisation financière (Markowitz, Black-Litterman, CVXPY)</w:t>
      </w:r>
    </w:p>
    <w:p>
      <w:pPr>
        <w:pStyle w:val="ListBullet"/>
      </w:pPr>
      <w:r>
        <w:rPr>
          <w:color w:val="333333"/>
          <w:sz w:val="22"/>
        </w:rPr>
        <w:t>Système d'authentification complet (JWT, bcrypt, vérification e-mail, reset MDP)</w:t>
      </w:r>
    </w:p>
    <w:p>
      <w:pPr>
        <w:pStyle w:val="ListBullet"/>
      </w:pPr>
      <w:r>
        <w:rPr>
          <w:color w:val="333333"/>
          <w:sz w:val="22"/>
        </w:rPr>
        <w:t>Interface utilisateur (HTML / CSS / Vanilla JS) — 16 pages</w:t>
      </w:r>
    </w:p>
    <w:p>
      <w:pPr>
        <w:pStyle w:val="ListBullet"/>
      </w:pPr>
      <w:r>
        <w:rPr>
          <w:color w:val="333333"/>
          <w:sz w:val="22"/>
        </w:rPr>
        <w:t>Explorateur d'univers d'actifs + Export PDF côté client</w:t>
      </w:r>
    </w:p>
    <w:p>
      <w:pPr>
        <w:pStyle w:val="ListBullet"/>
      </w:pPr>
      <w:r>
        <w:rPr>
          <w:color w:val="333333"/>
          <w:sz w:val="22"/>
        </w:rPr>
        <w:t>Module éducatif : CapInvest Academy (leçons, quiz, XP, streaks)</w:t>
      </w:r>
    </w:p>
    <w:p>
      <w:pPr>
        <w:pStyle w:val="ListBullet"/>
      </w:pPr>
      <w:r>
        <w:rPr>
          <w:color w:val="333333"/>
          <w:sz w:val="22"/>
        </w:rPr>
        <w:t>Conformité réglementaire (RGPD, MiFID II)</w:t>
      </w:r>
    </w:p>
    <w:p>
      <w:pPr>
        <w:pStyle w:val="ListBullet"/>
      </w:pPr>
      <w:r>
        <w:rPr>
          <w:color w:val="333333"/>
          <w:sz w:val="22"/>
        </w:rPr>
        <w:t>Configuration de déploiement cloud (Render)</w:t>
      </w:r>
    </w:p>
    <w:p>
      <w:r>
        <w:rPr>
          <w:b w:val="0"/>
          <w:i/>
          <w:color w:val="333333"/>
          <w:sz w:val="22"/>
        </w:rPr>
        <w:br/>
        <w:t>Sont exclus du périmètre : l'intégration d'un vrai courtier financier et les tests de charge à grande échelle.</w:t>
      </w:r>
    </w:p>
    <w:p/>
    <w:p>
      <w:pPr>
        <w:pStyle w:val="Heading1"/>
      </w:pPr>
      <w:r>
        <w:rPr>
          <w:color w:val="1A2E5A"/>
          <w:sz w:val="32"/>
        </w:rPr>
        <w:t>2. Méthodologie</w:t>
      </w:r>
    </w:p>
    <w:p>
      <w:r>
        <w:rPr>
          <w:b w:val="0"/>
          <w:i w:val="0"/>
          <w:color w:val="333333"/>
          <w:sz w:val="22"/>
        </w:rPr>
        <w:t>L'analyse s'appuie sur la méthode TELOS. Les données proviennent exclusivement du travail réellement accompli dans le code source :</w:t>
      </w:r>
    </w:p>
    <w:p>
      <w:pPr>
        <w:pStyle w:val="ListBullet"/>
      </w:pPr>
      <w:r>
        <w:rPr>
          <w:color w:val="333333"/>
          <w:sz w:val="22"/>
        </w:rPr>
        <w:t>Code source (dossiers src/, scripts/, templates/, static/)</w:t>
      </w:r>
    </w:p>
    <w:p>
      <w:pPr>
        <w:pStyle w:val="ListBullet"/>
      </w:pPr>
      <w:r>
        <w:rPr>
          <w:color w:val="333333"/>
          <w:sz w:val="22"/>
        </w:rPr>
        <w:t>Documentation du projet (README.md)</w:t>
      </w:r>
    </w:p>
    <w:p>
      <w:pPr>
        <w:pStyle w:val="ListBullet"/>
      </w:pPr>
      <w:r>
        <w:rPr>
          <w:color w:val="333333"/>
          <w:sz w:val="22"/>
        </w:rPr>
        <w:t>Requirements techniques fixés dans requirements.txt (30 dépendances)</w:t>
      </w:r>
    </w:p>
    <w:p>
      <w:pPr>
        <w:pStyle w:val="ListBullet"/>
      </w:pPr>
      <w:r>
        <w:rPr>
          <w:color w:val="333333"/>
          <w:sz w:val="22"/>
        </w:rPr>
        <w:t>Documentation officielle FastAPI, SQLAlchemy, PyPortfolioOpt, CVXPY</w:t>
      </w:r>
    </w:p>
    <w:p>
      <w:pPr>
        <w:pStyle w:val="ListBullet"/>
      </w:pPr>
      <w:r>
        <w:rPr>
          <w:color w:val="333333"/>
          <w:sz w:val="22"/>
        </w:rPr>
        <w:t>Référentiel MiFID II — Directive 2014/65/UE</w:t>
      </w:r>
    </w:p>
    <w:p>
      <w:pPr>
        <w:pStyle w:val="ListBullet"/>
      </w:pPr>
      <w:r>
        <w:rPr>
          <w:color w:val="333333"/>
          <w:sz w:val="22"/>
        </w:rPr>
        <w:t>RGPD — Règlement UE 2016/679</w:t>
      </w:r>
    </w:p>
    <w:p/>
    <w:p>
      <w:pPr>
        <w:pStyle w:val="Heading1"/>
      </w:pPr>
      <w:r>
        <w:rPr>
          <w:color w:val="1A2E5A"/>
          <w:sz w:val="32"/>
        </w:rPr>
        <w:t>3. Analyse TELOS</w:t>
      </w:r>
    </w:p>
    <w:p>
      <w:pPr>
        <w:pStyle w:val="Heading2"/>
      </w:pPr>
      <w:r>
        <w:rPr>
          <w:color w:val="1F6EB4"/>
          <w:sz w:val="26"/>
        </w:rPr>
        <w:t>3.1 Technique (T)</w:t>
      </w:r>
    </w:p>
    <w:p>
      <w:r>
        <w:rPr>
          <w:b w:val="0"/>
          <w:i w:val="0"/>
          <w:color w:val="333333"/>
          <w:sz w:val="22"/>
        </w:rPr>
        <w:t>La dimension technique évalue si les technologies, compétences et ressources matérielles disponibles sont suffisantes pour réaliser le projet.</w:t>
      </w:r>
    </w:p>
    <w:p>
      <w:pPr>
        <w:pStyle w:val="Heading3"/>
      </w:pPr>
      <w:r>
        <w:rPr>
          <w:color w:val="2E86AB"/>
          <w:sz w:val="24"/>
        </w:rPr>
        <w:t>Technologies effectivement utilisées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1F6EB4"/>
          </w:tcPr>
          <w:p>
            <w:pPr>
              <w:jc w:val="center"/>
            </w:pPr>
            <w:r>
              <w:rPr>
                <w:b/>
                <w:color w:val="FFFFFF"/>
                <w:sz w:val="18"/>
              </w:rPr>
              <w:t>Technologie</w:t>
            </w:r>
          </w:p>
        </w:tc>
        <w:tc>
          <w:tcPr>
            <w:tcW w:type="dxa" w:w="2209"/>
            <w:shd w:val="clear" w:color="auto" w:fill="1F6EB4"/>
          </w:tcPr>
          <w:p>
            <w:pPr>
              <w:jc w:val="center"/>
            </w:pPr>
            <w:r>
              <w:rPr>
                <w:b/>
                <w:color w:val="FFFFFF"/>
                <w:sz w:val="18"/>
              </w:rPr>
              <w:t>Rôle</w:t>
            </w:r>
          </w:p>
        </w:tc>
        <w:tc>
          <w:tcPr>
            <w:tcW w:type="dxa" w:w="2209"/>
            <w:shd w:val="clear" w:color="auto" w:fill="1F6EB4"/>
          </w:tcPr>
          <w:p>
            <w:pPr>
              <w:jc w:val="center"/>
            </w:pPr>
            <w:r>
              <w:rPr>
                <w:b/>
                <w:color w:val="FFFFFF"/>
                <w:sz w:val="18"/>
              </w:rPr>
              <w:t>Usage réel dans le projet</w:t>
            </w:r>
          </w:p>
        </w:tc>
        <w:tc>
          <w:tcPr>
            <w:tcW w:type="dxa" w:w="2209"/>
            <w:shd w:val="clear" w:color="auto" w:fill="1F6EB4"/>
          </w:tcPr>
          <w:p>
            <w:pPr>
              <w:jc w:val="center"/>
            </w:pPr>
            <w:r>
              <w:rPr>
                <w:b/>
                <w:color w:val="FFFFFF"/>
                <w:sz w:val="18"/>
              </w:rPr>
              <w:t>Statut</w:t>
            </w:r>
          </w:p>
        </w:tc>
      </w:tr>
      <w:tr>
        <w:tc>
          <w:tcPr>
            <w:tcW w:type="dxa" w:w="2209"/>
            <w:shd w:val="clear" w:color="auto" w:fill="EFF4FB"/>
          </w:tcPr>
          <w:p>
            <w:r>
              <w:rPr>
                <w:sz w:val="18"/>
              </w:rPr>
              <w:t>FastAPI 0.129</w:t>
            </w:r>
          </w:p>
        </w:tc>
        <w:tc>
          <w:tcPr>
            <w:tcW w:type="dxa" w:w="2209"/>
            <w:shd w:val="clear" w:color="auto" w:fill="EFF4FB"/>
          </w:tcPr>
          <w:p>
            <w:r>
              <w:rPr>
                <w:sz w:val="18"/>
              </w:rPr>
              <w:t>Framework API REST</w:t>
            </w:r>
          </w:p>
        </w:tc>
        <w:tc>
          <w:tcPr>
            <w:tcW w:type="dxa" w:w="2209"/>
            <w:shd w:val="clear" w:color="auto" w:fill="EFF4FB"/>
          </w:tcPr>
          <w:p>
            <w:r>
              <w:rPr>
                <w:sz w:val="18"/>
              </w:rPr>
              <w:t>5 routers montés dans main.py (auth, portfolio, training, RGPD, core). 30+ endpoints.</w:t>
            </w:r>
          </w:p>
        </w:tc>
        <w:tc>
          <w:tcPr>
            <w:tcW w:type="dxa" w:w="2209"/>
            <w:shd w:val="clear" w:color="auto" w:fill="EFF4FB"/>
            <w:shd w:val="clear" w:color="auto" w:fill="D4EDDA"/>
          </w:tcPr>
          <w:p>
            <w:r>
              <w:rPr>
                <w:sz w:val="18"/>
              </w:rPr>
              <w:t>✅ Maîtrisé</w:t>
            </w:r>
          </w:p>
        </w:tc>
      </w:tr>
      <w:tr>
        <w:tc>
          <w:tcPr>
            <w:tcW w:type="dxa" w:w="2209"/>
          </w:tcPr>
          <w:p>
            <w:r>
              <w:rPr>
                <w:sz w:val="18"/>
              </w:rPr>
              <w:t>SQLite + SQLAlchemy 2.0</w:t>
            </w:r>
          </w:p>
        </w:tc>
        <w:tc>
          <w:tcPr>
            <w:tcW w:type="dxa" w:w="2209"/>
          </w:tcPr>
          <w:p>
            <w:r>
              <w:rPr>
                <w:sz w:val="18"/>
              </w:rPr>
              <w:t>SGBD local + ORM</w:t>
            </w:r>
          </w:p>
        </w:tc>
        <w:tc>
          <w:tcPr>
            <w:tcW w:type="dxa" w:w="2209"/>
          </w:tcPr>
          <w:p>
            <w:r>
              <w:rPr>
                <w:sz w:val="18"/>
              </w:rPr>
              <w:t>9 modèles : User, SavedProfile, SavedPortfolio, Module, Lesson, Question, UserLessonProgress, UserTrainingStats, AuthToken.</w:t>
            </w:r>
          </w:p>
        </w:tc>
        <w:tc>
          <w:tcPr>
            <w:tcW w:type="dxa" w:w="2209"/>
            <w:shd w:val="clear" w:color="auto" w:fill="D4EDDA"/>
          </w:tcPr>
          <w:p>
            <w:r>
              <w:rPr>
                <w:sz w:val="18"/>
              </w:rPr>
              <w:t>✅ Fonctionnel</w:t>
            </w:r>
          </w:p>
        </w:tc>
      </w:tr>
      <w:tr>
        <w:tc>
          <w:tcPr>
            <w:tcW w:type="dxa" w:w="2209"/>
            <w:shd w:val="clear" w:color="auto" w:fill="EFF4FB"/>
          </w:tcPr>
          <w:p>
            <w:r>
              <w:rPr>
                <w:sz w:val="18"/>
              </w:rPr>
              <w:t>yfinance 1.1 + Tenacity</w:t>
            </w:r>
          </w:p>
        </w:tc>
        <w:tc>
          <w:tcPr>
            <w:tcW w:type="dxa" w:w="2209"/>
            <w:shd w:val="clear" w:color="auto" w:fill="EFF4FB"/>
          </w:tcPr>
          <w:p>
            <w:r>
              <w:rPr>
                <w:sz w:val="18"/>
              </w:rPr>
              <w:t>Données financières</w:t>
            </w:r>
          </w:p>
        </w:tc>
        <w:tc>
          <w:tcPr>
            <w:tcW w:type="dxa" w:w="2209"/>
            <w:shd w:val="clear" w:color="auto" w:fill="EFF4FB"/>
          </w:tcPr>
          <w:p>
            <w:r>
              <w:rPr>
                <w:sz w:val="18"/>
              </w:rPr>
              <w:t>479 actifs (405 Actions + 74 ETFs — US, Europe, Global, Émergents). Cache 48h (universe.csv). Tenacity gère les retries automatiques sur yfinance.</w:t>
            </w:r>
          </w:p>
        </w:tc>
        <w:tc>
          <w:tcPr>
            <w:tcW w:type="dxa" w:w="2209"/>
            <w:shd w:val="clear" w:color="auto" w:fill="EFF4FB"/>
            <w:shd w:val="clear" w:color="auto" w:fill="D4EDDA"/>
          </w:tcPr>
          <w:p>
            <w:r>
              <w:rPr>
                <w:sz w:val="18"/>
              </w:rPr>
              <w:t>✅ Résilient</w:t>
            </w:r>
          </w:p>
        </w:tc>
      </w:tr>
      <w:tr>
        <w:tc>
          <w:tcPr>
            <w:tcW w:type="dxa" w:w="2209"/>
          </w:tcPr>
          <w:p>
            <w:r>
              <w:rPr>
                <w:sz w:val="18"/>
              </w:rPr>
              <w:t>PyPortfolioOpt + CVXPY + scipy</w:t>
            </w:r>
          </w:p>
        </w:tc>
        <w:tc>
          <w:tcPr>
            <w:tcW w:type="dxa" w:w="2209"/>
          </w:tcPr>
          <w:p>
            <w:r>
              <w:rPr>
                <w:sz w:val="18"/>
              </w:rPr>
              <w:t>Optimisation</w:t>
            </w:r>
          </w:p>
        </w:tc>
        <w:tc>
          <w:tcPr>
            <w:tcW w:type="dxa" w:w="2209"/>
          </w:tcPr>
          <w:p>
            <w:r>
              <w:rPr>
                <w:sz w:val="18"/>
              </w:rPr>
              <w:t>Markowitz Mean-Variance (optimizer.py). CVXPY/scipy comme solveurs avancés. Contraintes 2–10 actifs, concentration 30–50%.</w:t>
            </w:r>
          </w:p>
        </w:tc>
        <w:tc>
          <w:tcPr>
            <w:tcW w:type="dxa" w:w="2209"/>
            <w:shd w:val="clear" w:color="auto" w:fill="D4EDDA"/>
          </w:tcPr>
          <w:p>
            <w:r>
              <w:rPr>
                <w:sz w:val="18"/>
              </w:rPr>
              <w:t>✅ Opérationnel</w:t>
            </w:r>
          </w:p>
        </w:tc>
      </w:tr>
      <w:tr>
        <w:tc>
          <w:tcPr>
            <w:tcW w:type="dxa" w:w="2209"/>
            <w:shd w:val="clear" w:color="auto" w:fill="EFF4FB"/>
          </w:tcPr>
          <w:p>
            <w:r>
              <w:rPr>
                <w:sz w:val="18"/>
              </w:rPr>
              <w:t>Black-Litterman</w:t>
            </w:r>
          </w:p>
        </w:tc>
        <w:tc>
          <w:tcPr>
            <w:tcW w:type="dxa" w:w="2209"/>
            <w:shd w:val="clear" w:color="auto" w:fill="EFF4FB"/>
          </w:tcPr>
          <w:p>
            <w:r>
              <w:rPr>
                <w:sz w:val="18"/>
              </w:rPr>
              <w:t>Optimisation expert</w:t>
            </w:r>
          </w:p>
        </w:tc>
        <w:tc>
          <w:tcPr>
            <w:tcW w:type="dxa" w:w="2209"/>
            <w:shd w:val="clear" w:color="auto" w:fill="EFF4FB"/>
          </w:tcPr>
          <w:p>
            <w:r>
              <w:rPr>
                <w:sz w:val="18"/>
              </w:rPr>
              <w:t>Réservé profils « Expert ». Verrouillage automatique si profil novice (gating MiFID II).</w:t>
            </w:r>
          </w:p>
        </w:tc>
        <w:tc>
          <w:tcPr>
            <w:tcW w:type="dxa" w:w="2209"/>
            <w:shd w:val="clear" w:color="auto" w:fill="EFF4FB"/>
            <w:shd w:val="clear" w:color="auto" w:fill="D4EDDA"/>
          </w:tcPr>
          <w:p>
            <w:r>
              <w:rPr>
                <w:sz w:val="18"/>
              </w:rPr>
              <w:t>✅ Implémenté</w:t>
            </w:r>
          </w:p>
        </w:tc>
      </w:tr>
      <w:tr>
        <w:tc>
          <w:tcPr>
            <w:tcW w:type="dxa" w:w="2209"/>
          </w:tcPr>
          <w:p>
            <w:r>
              <w:rPr>
                <w:sz w:val="18"/>
              </w:rPr>
              <w:t>JWT + bcrypt</w:t>
            </w:r>
          </w:p>
        </w:tc>
        <w:tc>
          <w:tcPr>
            <w:tcW w:type="dxa" w:w="2209"/>
          </w:tcPr>
          <w:p>
            <w:r>
              <w:rPr>
                <w:sz w:val="18"/>
              </w:rPr>
              <w:t>Auth sécurisée</w:t>
            </w:r>
          </w:p>
        </w:tc>
        <w:tc>
          <w:tcPr>
            <w:tcW w:type="dxa" w:w="2209"/>
          </w:tcPr>
          <w:p>
            <w:r>
              <w:rPr>
                <w:sz w:val="18"/>
              </w:rPr>
              <w:t>Tokens JWT (python-jose), mots de passe hachés (passlib/bcrypt), validation force MDP (majuscule, caract. spécial).</w:t>
            </w:r>
          </w:p>
        </w:tc>
        <w:tc>
          <w:tcPr>
            <w:tcW w:type="dxa" w:w="2209"/>
            <w:shd w:val="clear" w:color="auto" w:fill="D4EDDA"/>
          </w:tcPr>
          <w:p>
            <w:r>
              <w:rPr>
                <w:sz w:val="18"/>
              </w:rPr>
              <w:t>✅ Sécurisé</w:t>
            </w:r>
          </w:p>
        </w:tc>
      </w:tr>
      <w:tr>
        <w:tc>
          <w:tcPr>
            <w:tcW w:type="dxa" w:w="2209"/>
            <w:shd w:val="clear" w:color="auto" w:fill="EFF4FB"/>
          </w:tcPr>
          <w:p>
            <w:r>
              <w:rPr>
                <w:sz w:val="18"/>
              </w:rPr>
              <w:t>Vérif. e-mail + Reset MDP</w:t>
            </w:r>
          </w:p>
        </w:tc>
        <w:tc>
          <w:tcPr>
            <w:tcW w:type="dxa" w:w="2209"/>
            <w:shd w:val="clear" w:color="auto" w:fill="EFF4FB"/>
          </w:tcPr>
          <w:p>
            <w:r>
              <w:rPr>
                <w:sz w:val="18"/>
              </w:rPr>
              <w:t>Auth avancée</w:t>
            </w:r>
          </w:p>
        </w:tc>
        <w:tc>
          <w:tcPr>
            <w:tcW w:type="dxa" w:w="2209"/>
            <w:shd w:val="clear" w:color="auto" w:fill="EFF4FB"/>
          </w:tcPr>
          <w:p>
            <w:r>
              <w:rPr>
                <w:sz w:val="18"/>
              </w:rPr>
              <w:t>AuthToken (type verify/reset, expiration 24h/1h). Emails envoyés via service externe. Pages verify_status.html, reset_password.html.</w:t>
            </w:r>
          </w:p>
        </w:tc>
        <w:tc>
          <w:tcPr>
            <w:tcW w:type="dxa" w:w="2209"/>
            <w:shd w:val="clear" w:color="auto" w:fill="EFF4FB"/>
            <w:shd w:val="clear" w:color="auto" w:fill="D4EDDA"/>
          </w:tcPr>
          <w:p>
            <w:r>
              <w:rPr>
                <w:sz w:val="18"/>
              </w:rPr>
              <w:t>✅ Opérationnel</w:t>
            </w:r>
          </w:p>
        </w:tc>
      </w:tr>
      <w:tr>
        <w:tc>
          <w:tcPr>
            <w:tcW w:type="dxa" w:w="2209"/>
          </w:tcPr>
          <w:p>
            <w:r>
              <w:rPr>
                <w:sz w:val="18"/>
              </w:rPr>
              <w:t>Plotly</w:t>
            </w:r>
          </w:p>
        </w:tc>
        <w:tc>
          <w:tcPr>
            <w:tcW w:type="dxa" w:w="2209"/>
          </w:tcPr>
          <w:p>
            <w:r>
              <w:rPr>
                <w:sz w:val="18"/>
              </w:rPr>
              <w:t>Visualisation</w:t>
            </w:r>
          </w:p>
        </w:tc>
        <w:tc>
          <w:tcPr>
            <w:tcW w:type="dxa" w:w="2209"/>
          </w:tcPr>
          <w:p>
            <w:r>
              <w:rPr>
                <w:sz w:val="18"/>
              </w:rPr>
              <w:t>Graphiques interactifs dans l'explorateur d'univers d'actifs (explorer.html).</w:t>
            </w:r>
          </w:p>
        </w:tc>
        <w:tc>
          <w:tcPr>
            <w:tcW w:type="dxa" w:w="2209"/>
            <w:shd w:val="clear" w:color="auto" w:fill="D4EDDA"/>
          </w:tcPr>
          <w:p>
            <w:r>
              <w:rPr>
                <w:sz w:val="18"/>
              </w:rPr>
              <w:t>✅ Intégré</w:t>
            </w:r>
          </w:p>
        </w:tc>
      </w:tr>
      <w:tr>
        <w:tc>
          <w:tcPr>
            <w:tcW w:type="dxa" w:w="2209"/>
            <w:shd w:val="clear" w:color="auto" w:fill="EFF4FB"/>
          </w:tcPr>
          <w:p>
            <w:r>
              <w:rPr>
                <w:sz w:val="18"/>
              </w:rPr>
              <w:t>html2pdf + jsPDF</w:t>
            </w:r>
          </w:p>
        </w:tc>
        <w:tc>
          <w:tcPr>
            <w:tcW w:type="dxa" w:w="2209"/>
            <w:shd w:val="clear" w:color="auto" w:fill="EFF4FB"/>
          </w:tcPr>
          <w:p>
            <w:r>
              <w:rPr>
                <w:sz w:val="18"/>
              </w:rPr>
              <w:t>Export PDF</w:t>
            </w:r>
          </w:p>
        </w:tc>
        <w:tc>
          <w:tcPr>
            <w:tcW w:type="dxa" w:w="2209"/>
            <w:shd w:val="clear" w:color="auto" w:fill="EFF4FB"/>
          </w:tcPr>
          <w:p>
            <w:r>
              <w:rPr>
                <w:sz w:val="18"/>
              </w:rPr>
              <w:t>Export PDF côté client depuis le navigateur (aucun traitement serveur requis).</w:t>
            </w:r>
          </w:p>
        </w:tc>
        <w:tc>
          <w:tcPr>
            <w:tcW w:type="dxa" w:w="2209"/>
            <w:shd w:val="clear" w:color="auto" w:fill="EFF4FB"/>
            <w:shd w:val="clear" w:color="auto" w:fill="D4EDDA"/>
          </w:tcPr>
          <w:p>
            <w:r>
              <w:rPr>
                <w:sz w:val="18"/>
              </w:rPr>
              <w:t>✅ Fonctionnel</w:t>
            </w:r>
          </w:p>
        </w:tc>
      </w:tr>
      <w:tr>
        <w:tc>
          <w:tcPr>
            <w:tcW w:type="dxa" w:w="2209"/>
          </w:tcPr>
          <w:p>
            <w:r>
              <w:rPr>
                <w:sz w:val="18"/>
              </w:rPr>
              <w:t>HTML/CSS/Vanilla JS</w:t>
            </w:r>
          </w:p>
        </w:tc>
        <w:tc>
          <w:tcPr>
            <w:tcW w:type="dxa" w:w="2209"/>
          </w:tcPr>
          <w:p>
            <w:r>
              <w:rPr>
                <w:sz w:val="18"/>
              </w:rPr>
              <w:t>Frontend</w:t>
            </w:r>
          </w:p>
        </w:tc>
        <w:tc>
          <w:tcPr>
            <w:tcW w:type="dxa" w:w="2209"/>
          </w:tcPr>
          <w:p>
            <w:r>
              <w:rPr>
                <w:sz w:val="18"/>
              </w:rPr>
              <w:t>16 templates HTML. JS structuré : api.js, ui.js, smart-suggestions.js, cookie-consent.js, tour.js.</w:t>
            </w:r>
          </w:p>
        </w:tc>
        <w:tc>
          <w:tcPr>
            <w:tcW w:type="dxa" w:w="2209"/>
            <w:shd w:val="clear" w:color="auto" w:fill="D4EDDA"/>
          </w:tcPr>
          <w:p>
            <w:r>
              <w:rPr>
                <w:sz w:val="18"/>
              </w:rPr>
              <w:t>✅ Complet</w:t>
            </w:r>
          </w:p>
        </w:tc>
      </w:tr>
      <w:tr>
        <w:tc>
          <w:tcPr>
            <w:tcW w:type="dxa" w:w="2209"/>
            <w:shd w:val="clear" w:color="auto" w:fill="EFF4FB"/>
          </w:tcPr>
          <w:p>
            <w:r>
              <w:rPr>
                <w:sz w:val="18"/>
              </w:rPr>
              <w:t>Render (render.yaml)</w:t>
            </w:r>
          </w:p>
        </w:tc>
        <w:tc>
          <w:tcPr>
            <w:tcW w:type="dxa" w:w="2209"/>
            <w:shd w:val="clear" w:color="auto" w:fill="EFF4FB"/>
          </w:tcPr>
          <w:p>
            <w:r>
              <w:rPr>
                <w:sz w:val="18"/>
              </w:rPr>
              <w:t>Déploiement cloud</w:t>
            </w:r>
          </w:p>
        </w:tc>
        <w:tc>
          <w:tcPr>
            <w:tcW w:type="dxa" w:w="2209"/>
            <w:shd w:val="clear" w:color="auto" w:fill="EFF4FB"/>
          </w:tcPr>
          <w:p>
            <w:r>
              <w:rPr>
                <w:sz w:val="18"/>
              </w:rPr>
              <w:t>Configuration Render prête : runtime Python, startCommand uvicorn, PYTHON_VERSION=3.10.</w:t>
            </w:r>
          </w:p>
        </w:tc>
        <w:tc>
          <w:tcPr>
            <w:tcW w:type="dxa" w:w="2209"/>
            <w:shd w:val="clear" w:color="auto" w:fill="EFF4FB"/>
            <w:shd w:val="clear" w:color="auto" w:fill="D4EDDA"/>
          </w:tcPr>
          <w:p>
            <w:r>
              <w:rPr>
                <w:sz w:val="18"/>
              </w:rPr>
              <w:t>✅ Configuré</w:t>
            </w:r>
          </w:p>
        </w:tc>
      </w:tr>
    </w:tbl>
    <w:p/>
    <w:p>
      <w:r>
        <w:rPr>
          <w:b w:val="0"/>
          <w:i/>
          <w:color w:val="333333"/>
          <w:sz w:val="22"/>
        </w:rPr>
        <w:t>Le projet a été développé sur machines locales (Mac/Windows) sans infrastructure cloud obligatoire. Toutes les bibliothèques sont open-source et disponibles via pip. La complexité technique réside dans les modèles financiers (Markowitz, Black-Litterman, CVXPY) et dans la logique MiFID II (Safety-First, gating, cohérence).</w:t>
      </w:r>
    </w:p>
    <w:p>
      <w:r>
        <w:rPr>
          <w:b/>
          <w:i w:val="0"/>
          <w:color w:val="333333"/>
          <w:sz w:val="22"/>
        </w:rPr>
        <w:br/>
        <w:t xml:space="preserve">Conclusion Technique : </w:t>
      </w:r>
    </w:p>
    <w:p>
      <w:r>
        <w:rPr>
          <w:b w:val="0"/>
          <w:i w:val="0"/>
          <w:color w:val="333333"/>
          <w:sz w:val="22"/>
        </w:rPr>
        <w:t>Le projet est techniquement faisable et démontre une stack complète et maîtrisée. Le seul risque résiduel concerne la disponibilité de l'API yfinance (externe, non garantie), partiellement mitigé par la bibliothèque Tenacity et le cache local.</w:t>
      </w:r>
    </w:p>
    <w:p/>
    <w:p>
      <w:pPr>
        <w:pStyle w:val="Heading2"/>
      </w:pPr>
      <w:r>
        <w:rPr>
          <w:color w:val="1F6EB4"/>
          <w:sz w:val="26"/>
        </w:rPr>
        <w:t>3.2 Économique (E)</w:t>
      </w:r>
    </w:p>
    <w:p>
      <w:r>
        <w:rPr>
          <w:b w:val="0"/>
          <w:i w:val="0"/>
          <w:color w:val="333333"/>
          <w:sz w:val="22"/>
        </w:rPr>
        <w:t>Évaluation de la soutenabilité financière du projet.</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1F6EB4"/>
          </w:tcPr>
          <w:p>
            <w:pPr>
              <w:jc w:val="center"/>
            </w:pPr>
            <w:r>
              <w:rPr>
                <w:b/>
                <w:color w:val="FFFFFF"/>
                <w:sz w:val="18"/>
              </w:rPr>
              <w:t>Poste de coût</w:t>
            </w:r>
          </w:p>
        </w:tc>
        <w:tc>
          <w:tcPr>
            <w:tcW w:type="dxa" w:w="2946"/>
            <w:shd w:val="clear" w:color="auto" w:fill="1F6EB4"/>
          </w:tcPr>
          <w:p>
            <w:pPr>
              <w:jc w:val="center"/>
            </w:pPr>
            <w:r>
              <w:rPr>
                <w:b/>
                <w:color w:val="FFFFFF"/>
                <w:sz w:val="18"/>
              </w:rPr>
              <w:t>Montant</w:t>
            </w:r>
          </w:p>
        </w:tc>
        <w:tc>
          <w:tcPr>
            <w:tcW w:type="dxa" w:w="2946"/>
            <w:shd w:val="clear" w:color="auto" w:fill="1F6EB4"/>
          </w:tcPr>
          <w:p>
            <w:pPr>
              <w:jc w:val="center"/>
            </w:pPr>
            <w:r>
              <w:rPr>
                <w:b/>
                <w:color w:val="FFFFFF"/>
                <w:sz w:val="18"/>
              </w:rPr>
              <w:t>Justification</w:t>
            </w:r>
          </w:p>
        </w:tc>
      </w:tr>
      <w:tr>
        <w:tc>
          <w:tcPr>
            <w:tcW w:type="dxa" w:w="2946"/>
            <w:shd w:val="clear" w:color="auto" w:fill="EFF4FB"/>
          </w:tcPr>
          <w:p>
            <w:r>
              <w:rPr>
                <w:sz w:val="18"/>
              </w:rPr>
              <w:t>Hébergement local</w:t>
            </w:r>
          </w:p>
        </w:tc>
        <w:tc>
          <w:tcPr>
            <w:tcW w:type="dxa" w:w="2946"/>
            <w:shd w:val="clear" w:color="auto" w:fill="EFF4FB"/>
          </w:tcPr>
          <w:p>
            <w:r>
              <w:rPr>
                <w:sz w:val="18"/>
              </w:rPr>
              <w:t>0 €</w:t>
            </w:r>
          </w:p>
        </w:tc>
        <w:tc>
          <w:tcPr>
            <w:tcW w:type="dxa" w:w="2946"/>
            <w:shd w:val="clear" w:color="auto" w:fill="EFF4FB"/>
          </w:tcPr>
          <w:p>
            <w:r>
              <w:rPr>
                <w:sz w:val="18"/>
              </w:rPr>
              <w:t>Application run en localhost:8000. Aucun serveur externe requis en phase dev.</w:t>
            </w:r>
          </w:p>
        </w:tc>
      </w:tr>
      <w:tr>
        <w:tc>
          <w:tcPr>
            <w:tcW w:type="dxa" w:w="2946"/>
          </w:tcPr>
          <w:p>
            <w:r>
              <w:rPr>
                <w:sz w:val="18"/>
              </w:rPr>
              <w:t>Hébergement cloud (Render)</w:t>
            </w:r>
          </w:p>
        </w:tc>
        <w:tc>
          <w:tcPr>
            <w:tcW w:type="dxa" w:w="2946"/>
          </w:tcPr>
          <w:p>
            <w:r>
              <w:rPr>
                <w:sz w:val="18"/>
              </w:rPr>
              <w:t>0 € (tier gratuit)</w:t>
            </w:r>
          </w:p>
        </w:tc>
        <w:tc>
          <w:tcPr>
            <w:tcW w:type="dxa" w:w="2946"/>
          </w:tcPr>
          <w:p>
            <w:r>
              <w:rPr>
                <w:sz w:val="18"/>
              </w:rPr>
              <w:t>render.yaml configuré pour déploiement sur Render Free Tier.</w:t>
            </w:r>
          </w:p>
        </w:tc>
      </w:tr>
      <w:tr>
        <w:tc>
          <w:tcPr>
            <w:tcW w:type="dxa" w:w="2946"/>
            <w:shd w:val="clear" w:color="auto" w:fill="EFF4FB"/>
          </w:tcPr>
          <w:p>
            <w:r>
              <w:rPr>
                <w:sz w:val="18"/>
              </w:rPr>
              <w:t>Base de données</w:t>
            </w:r>
          </w:p>
        </w:tc>
        <w:tc>
          <w:tcPr>
            <w:tcW w:type="dxa" w:w="2946"/>
            <w:shd w:val="clear" w:color="auto" w:fill="EFF4FB"/>
          </w:tcPr>
          <w:p>
            <w:r>
              <w:rPr>
                <w:sz w:val="18"/>
              </w:rPr>
              <w:t>0 €</w:t>
            </w:r>
          </w:p>
        </w:tc>
        <w:tc>
          <w:tcPr>
            <w:tcW w:type="dxa" w:w="2946"/>
            <w:shd w:val="clear" w:color="auto" w:fill="EFF4FB"/>
          </w:tcPr>
          <w:p>
            <w:r>
              <w:rPr>
                <w:sz w:val="18"/>
              </w:rPr>
              <w:t>SQLite : inclus dans Python, aucune licence requise.</w:t>
            </w:r>
          </w:p>
        </w:tc>
      </w:tr>
      <w:tr>
        <w:tc>
          <w:tcPr>
            <w:tcW w:type="dxa" w:w="2946"/>
          </w:tcPr>
          <w:p>
            <w:r>
              <w:rPr>
                <w:sz w:val="18"/>
              </w:rPr>
              <w:t>Données financières</w:t>
            </w:r>
          </w:p>
        </w:tc>
        <w:tc>
          <w:tcPr>
            <w:tcW w:type="dxa" w:w="2946"/>
          </w:tcPr>
          <w:p>
            <w:r>
              <w:rPr>
                <w:sz w:val="18"/>
              </w:rPr>
              <w:t>0 €</w:t>
            </w:r>
          </w:p>
        </w:tc>
        <w:tc>
          <w:tcPr>
            <w:tcW w:type="dxa" w:w="2946"/>
          </w:tcPr>
          <w:p>
            <w:r>
              <w:rPr>
                <w:sz w:val="18"/>
              </w:rPr>
              <w:t>yfinance (API gratuite Yahoo Finance). 154 actifs sans abonnement.</w:t>
            </w:r>
          </w:p>
        </w:tc>
      </w:tr>
      <w:tr>
        <w:tc>
          <w:tcPr>
            <w:tcW w:type="dxa" w:w="2946"/>
            <w:shd w:val="clear" w:color="auto" w:fill="EFF4FB"/>
          </w:tcPr>
          <w:p>
            <w:r>
              <w:rPr>
                <w:sz w:val="18"/>
              </w:rPr>
              <w:t>Bibliothèques Python</w:t>
            </w:r>
          </w:p>
        </w:tc>
        <w:tc>
          <w:tcPr>
            <w:tcW w:type="dxa" w:w="2946"/>
            <w:shd w:val="clear" w:color="auto" w:fill="EFF4FB"/>
          </w:tcPr>
          <w:p>
            <w:r>
              <w:rPr>
                <w:sz w:val="18"/>
              </w:rPr>
              <w:t>0 €</w:t>
            </w:r>
          </w:p>
        </w:tc>
        <w:tc>
          <w:tcPr>
            <w:tcW w:type="dxa" w:w="2946"/>
            <w:shd w:val="clear" w:color="auto" w:fill="EFF4FB"/>
          </w:tcPr>
          <w:p>
            <w:r>
              <w:rPr>
                <w:sz w:val="18"/>
              </w:rPr>
              <w:t>30 dépendances open-source : FastAPI, SQLAlchemy, CVXPY, Plotly, etc.</w:t>
            </w:r>
          </w:p>
        </w:tc>
      </w:tr>
      <w:tr>
        <w:tc>
          <w:tcPr>
            <w:tcW w:type="dxa" w:w="2946"/>
          </w:tcPr>
          <w:p>
            <w:r>
              <w:rPr>
                <w:sz w:val="18"/>
              </w:rPr>
              <w:t>Service e-mail</w:t>
            </w:r>
          </w:p>
        </w:tc>
        <w:tc>
          <w:tcPr>
            <w:tcW w:type="dxa" w:w="2946"/>
          </w:tcPr>
          <w:p>
            <w:r>
              <w:rPr>
                <w:sz w:val="18"/>
              </w:rPr>
              <w:t>0 € (dev)</w:t>
            </w:r>
          </w:p>
        </w:tc>
        <w:tc>
          <w:tcPr>
            <w:tcW w:type="dxa" w:w="2946"/>
          </w:tcPr>
          <w:p>
            <w:r>
              <w:rPr>
                <w:sz w:val="18"/>
              </w:rPr>
              <w:t>Service d'envoi e-mail (vérif. compte, reset MDP). Gratuit en phase académique.</w:t>
            </w:r>
          </w:p>
        </w:tc>
      </w:tr>
      <w:tr>
        <w:tc>
          <w:tcPr>
            <w:tcW w:type="dxa" w:w="2946"/>
            <w:shd w:val="clear" w:color="auto" w:fill="EFF4FB"/>
          </w:tcPr>
          <w:p>
            <w:r>
              <w:rPr>
                <w:sz w:val="18"/>
              </w:rPr>
              <w:t>Outils de développement</w:t>
            </w:r>
          </w:p>
        </w:tc>
        <w:tc>
          <w:tcPr>
            <w:tcW w:type="dxa" w:w="2946"/>
            <w:shd w:val="clear" w:color="auto" w:fill="EFF4FB"/>
          </w:tcPr>
          <w:p>
            <w:r>
              <w:rPr>
                <w:sz w:val="18"/>
              </w:rPr>
              <w:t>0 €</w:t>
            </w:r>
          </w:p>
        </w:tc>
        <w:tc>
          <w:tcPr>
            <w:tcW w:type="dxa" w:w="2946"/>
            <w:shd w:val="clear" w:color="auto" w:fill="EFF4FB"/>
          </w:tcPr>
          <w:p>
            <w:r>
              <w:rPr>
                <w:sz w:val="18"/>
              </w:rPr>
              <w:t>VS Code (gratuit), Git (gratuit), terminal Mac/Windows.</w:t>
            </w:r>
          </w:p>
        </w:tc>
      </w:tr>
      <w:tr>
        <w:tc>
          <w:tcPr>
            <w:tcW w:type="dxa" w:w="2946"/>
          </w:tcPr>
          <w:p>
            <w:r>
              <w:rPr>
                <w:sz w:val="18"/>
              </w:rPr>
              <w:t>Matériel informatique</w:t>
            </w:r>
          </w:p>
        </w:tc>
        <w:tc>
          <w:tcPr>
            <w:tcW w:type="dxa" w:w="2946"/>
          </w:tcPr>
          <w:p>
            <w:r>
              <w:rPr>
                <w:sz w:val="18"/>
              </w:rPr>
              <w:t>Existant</w:t>
            </w:r>
          </w:p>
        </w:tc>
        <w:tc>
          <w:tcPr>
            <w:tcW w:type="dxa" w:w="2946"/>
          </w:tcPr>
          <w:p>
            <w:r>
              <w:rPr>
                <w:sz w:val="18"/>
              </w:rPr>
              <w:t>Machines personnelles de l'équipe — aucun achat requis.</w:t>
            </w:r>
          </w:p>
        </w:tc>
      </w:tr>
      <w:tr>
        <w:tc>
          <w:tcPr>
            <w:tcW w:type="dxa" w:w="2946"/>
            <w:shd w:val="clear" w:color="auto" w:fill="EFF4FB"/>
            <w:shd w:val="clear" w:color="auto" w:fill="D4EDDA"/>
          </w:tcPr>
          <w:p>
            <w:r>
              <w:rPr>
                <w:b/>
                <w:sz w:val="18"/>
              </w:rPr>
              <w:t>TOTAL</w:t>
            </w:r>
          </w:p>
        </w:tc>
        <w:tc>
          <w:tcPr>
            <w:tcW w:type="dxa" w:w="2946"/>
            <w:shd w:val="clear" w:color="auto" w:fill="EFF4FB"/>
            <w:shd w:val="clear" w:color="auto" w:fill="D4EDDA"/>
          </w:tcPr>
          <w:p>
            <w:r>
              <w:rPr>
                <w:b/>
                <w:sz w:val="18"/>
              </w:rPr>
              <w:t>0 €</w:t>
            </w:r>
          </w:p>
        </w:tc>
        <w:tc>
          <w:tcPr>
            <w:tcW w:type="dxa" w:w="2946"/>
            <w:shd w:val="clear" w:color="auto" w:fill="EFF4FB"/>
            <w:shd w:val="clear" w:color="auto" w:fill="D4EDDA"/>
          </w:tcPr>
          <w:p>
            <w:r>
              <w:rPr>
                <w:b/>
                <w:sz w:val="18"/>
              </w:rPr>
              <w:t>Projet 100% gratuit dans sa phase de développement et de démo.</w:t>
            </w:r>
          </w:p>
        </w:tc>
      </w:tr>
    </w:tbl>
    <w:p/>
    <w:p>
      <w:r>
        <w:rPr>
          <w:b w:val="0"/>
          <w:i/>
          <w:color w:val="333333"/>
          <w:sz w:val="22"/>
        </w:rPr>
        <w:t>En production réelle (post-PPE), des coûts apparaîtraient : abonnement API financière professionnelle (Bloomberg, Refinitiv), service e-mail payant, et éventuellement un agrément AMF. Ces coûts dépassent le cadre académique actuel.</w:t>
      </w:r>
    </w:p>
    <w:p>
      <w:r>
        <w:rPr>
          <w:b/>
          <w:i w:val="0"/>
          <w:color w:val="333333"/>
          <w:sz w:val="22"/>
        </w:rPr>
        <w:br/>
        <w:t xml:space="preserve">Conclusion Économique : </w:t>
      </w:r>
    </w:p>
    <w:p>
      <w:r>
        <w:rPr>
          <w:b w:val="0"/>
          <w:i w:val="0"/>
          <w:color w:val="333333"/>
          <w:sz w:val="22"/>
        </w:rPr>
        <w:t>Le projet est économiquement viable dans son périmètre académique grâce à l'utilisation exclusive de technologies gratuites et open-source, y compris pour le déploiement cloud.</w:t>
      </w:r>
    </w:p>
    <w:p/>
    <w:p>
      <w:pPr>
        <w:pStyle w:val="Heading2"/>
      </w:pPr>
      <w:r>
        <w:rPr>
          <w:color w:val="1F6EB4"/>
          <w:sz w:val="26"/>
        </w:rPr>
        <w:t>3.3 Légal (L)</w:t>
      </w:r>
    </w:p>
    <w:p>
      <w:r>
        <w:rPr>
          <w:b w:val="0"/>
          <w:i w:val="0"/>
          <w:color w:val="333333"/>
          <w:sz w:val="22"/>
        </w:rPr>
        <w:t>Examen des contraintes réglementaires applicables au projet.</w:t>
      </w:r>
    </w:p>
    <w:p>
      <w:pPr>
        <w:pStyle w:val="Heading3"/>
      </w:pPr>
      <w:r>
        <w:rPr>
          <w:color w:val="2E86AB"/>
          <w:sz w:val="24"/>
        </w:rPr>
        <w:t>Réglementation MiFID II</w:t>
      </w:r>
    </w:p>
    <w:p>
      <w:r>
        <w:rPr>
          <w:b w:val="0"/>
          <w:i w:val="0"/>
          <w:color w:val="333333"/>
          <w:sz w:val="22"/>
        </w:rPr>
        <w:t>MiFID II impose l'évaluation du profil de risque des clients avant toute recommandation d'investissement. Le projet intègre ces exigences à plusieurs niveaux :</w:t>
      </w:r>
    </w:p>
    <w:p>
      <w:pPr>
        <w:pStyle w:val="ListBullet"/>
      </w:pPr>
      <w:r>
        <w:rPr>
          <w:color w:val="333333"/>
          <w:sz w:val="22"/>
        </w:rPr>
        <w:t>Questionnaire de profilage obligatoire : objectifs, horizon, tolérance au risque, capacité de perte, niveau de connaissance (src/profile/suggestion_rules.py).</w:t>
      </w:r>
    </w:p>
    <w:p>
      <w:pPr>
        <w:pStyle w:val="ListBullet"/>
      </w:pPr>
      <w:r>
        <w:rPr>
          <w:color w:val="333333"/>
          <w:sz w:val="22"/>
        </w:rPr>
        <w:t>Logique Safety-First : la capacité de perte prime toujours sur l'objectif de performance (Tier 1 &gt; Tier 2). Un utilisateur sans capacité de perte est systématiquement orienté vers un profil Prudent.</w:t>
      </w:r>
    </w:p>
    <w:p>
      <w:pPr>
        <w:pStyle w:val="ListBullet"/>
      </w:pPr>
      <w:r>
        <w:rPr>
          <w:color w:val="333333"/>
          <w:sz w:val="22"/>
        </w:rPr>
        <w:t>Contrôles de cohérence MiFID II (profile_engine.py) : détection des incohérences (ex. tolérance haute + capacité nulle) avec message pédagogique.</w:t>
      </w:r>
    </w:p>
    <w:p>
      <w:pPr>
        <w:pStyle w:val="ListBullet"/>
      </w:pPr>
      <w:r>
        <w:rPr>
          <w:color w:val="333333"/>
          <w:sz w:val="22"/>
        </w:rPr>
        <w:t>Score de confiance (confidence_score) : 0.95 si cohérence parfaite, 0.65 si flags détectés.</w:t>
      </w:r>
    </w:p>
    <w:p>
      <w:pPr>
        <w:pStyle w:val="ListBullet"/>
      </w:pPr>
      <w:r>
        <w:rPr>
          <w:color w:val="333333"/>
          <w:sz w:val="22"/>
        </w:rPr>
        <w:t>Verrouillage expert : Black-Litterman réservé aux profils « Expert ». Passage en novice = désactivation automatique.</w:t>
      </w:r>
    </w:p>
    <w:p>
      <w:pPr>
        <w:pStyle w:val="ListBullet"/>
      </w:pPr>
      <w:r>
        <w:rPr>
          <w:color w:val="333333"/>
          <w:sz w:val="22"/>
        </w:rPr>
        <w:t>Transparence : chaque actif du portefeuille est accompagné d'une explication en français (Core, Diversification, Fiabilité) via explainer.py.</w:t>
      </w:r>
    </w:p>
    <w:p>
      <w:pPr>
        <w:pStyle w:val="ListBullet"/>
      </w:pPr>
      <w:r>
        <w:rPr>
          <w:color w:val="333333"/>
          <w:sz w:val="22"/>
        </w:rPr>
        <w:t>Exclusion d'actifs par l'utilisateur (excluded_tickers dans SavedPortfolio) : respect de l'autonomie du client.</w:t>
      </w:r>
    </w:p>
    <w:p>
      <w:pPr>
        <w:pStyle w:val="ListBullet"/>
      </w:pPr>
      <w:r>
        <w:rPr>
          <w:color w:val="333333"/>
          <w:sz w:val="22"/>
        </w:rPr>
        <w:t>Aucune boîte noire : toutes les décisions d'allocation sont traçables et documentées.</w:t>
      </w:r>
    </w:p>
    <w:p>
      <w:pPr>
        <w:pStyle w:val="Heading3"/>
      </w:pPr>
      <w:r>
        <w:rPr>
          <w:color w:val="2E86AB"/>
          <w:sz w:val="24"/>
        </w:rPr>
        <w:t>Réglementation RGPD</w:t>
      </w:r>
    </w:p>
    <w:p>
      <w:r>
        <w:rPr>
          <w:b w:val="0"/>
          <w:i w:val="0"/>
          <w:color w:val="333333"/>
          <w:sz w:val="22"/>
        </w:rPr>
        <w:t>Le RGPD (UE 2016/679) impose des obligations strictes sur la collecte, le traitement et la suppression des données personnelles.</w:t>
      </w:r>
    </w:p>
    <w:p>
      <w:pPr>
        <w:pStyle w:val="ListBullet"/>
      </w:pPr>
      <w:r>
        <w:rPr>
          <w:color w:val="333333"/>
          <w:sz w:val="22"/>
        </w:rPr>
        <w:t>Modèle User avec champs de consentement explicites : privacy_policy_accepted_at, cookies_consent, marketing_consent (src/database/models.py).</w:t>
      </w:r>
    </w:p>
    <w:p>
      <w:pPr>
        <w:pStyle w:val="ListBullet"/>
      </w:pPr>
      <w:r>
        <w:rPr>
          <w:color w:val="333333"/>
          <w:sz w:val="22"/>
        </w:rPr>
        <w:t>Activation du compte uniquement après vérification e-mail (AuthToken type='verify', expiration 24h) — privacy by design.</w:t>
      </w:r>
    </w:p>
    <w:p>
      <w:pPr>
        <w:pStyle w:val="ListBullet"/>
      </w:pPr>
      <w:r>
        <w:rPr>
          <w:color w:val="333333"/>
          <w:sz w:val="22"/>
        </w:rPr>
        <w:t>Reset de mot de passe sécurisé (AuthToken type='reset', expiration 1h). Tokens à usage unique, invalidés après utilisation.</w:t>
      </w:r>
    </w:p>
    <w:p>
      <w:pPr>
        <w:pStyle w:val="ListBullet"/>
      </w:pPr>
      <w:r>
        <w:rPr>
          <w:color w:val="333333"/>
          <w:sz w:val="22"/>
        </w:rPr>
        <w:t>Endpoints RGPD dédiés (gdpr_endpoints.py) : export des données personnelles, suppression du compte.</w:t>
      </w:r>
    </w:p>
    <w:p>
      <w:pPr>
        <w:pStyle w:val="ListBullet"/>
      </w:pPr>
      <w:r>
        <w:rPr>
          <w:color w:val="333333"/>
          <w:sz w:val="22"/>
        </w:rPr>
        <w:t>Page de gestion des données (gestion_donnees.html), politique de confidentialité (politique_confidentialite.html), mentions légales (mentions_legales.html).</w:t>
      </w:r>
    </w:p>
    <w:p>
      <w:pPr>
        <w:pStyle w:val="ListBullet"/>
      </w:pPr>
      <w:r>
        <w:rPr>
          <w:color w:val="333333"/>
          <w:sz w:val="22"/>
        </w:rPr>
        <w:t>Gestion du consentement cookies côté client (cookie-consent.js).</w:t>
      </w:r>
    </w:p>
    <w:p>
      <w:pPr>
        <w:pStyle w:val="ListBullet"/>
      </w:pPr>
      <w:r>
        <w:rPr>
          <w:color w:val="333333"/>
          <w:sz w:val="22"/>
        </w:rPr>
        <w:t>Mots de passe hachés bcrypt — aucun mot de passe en clair stocké.</w:t>
      </w:r>
    </w:p>
    <w:p>
      <w:pPr>
        <w:pStyle w:val="ListBullet"/>
      </w:pPr>
      <w:r>
        <w:rPr>
          <w:color w:val="333333"/>
          <w:sz w:val="22"/>
        </w:rPr>
        <w:t>Tokens JWT avec expiration pour l'authentification (python-jose).</w:t>
      </w:r>
    </w:p>
    <w:p>
      <w:pPr>
        <w:pStyle w:val="ListBullet"/>
      </w:pPr>
      <w:r>
        <w:rPr>
          <w:color w:val="333333"/>
          <w:sz w:val="22"/>
        </w:rPr>
        <w:t>Validation de force du mot de passe (majuscule + caractère spécial obligatoires).</w:t>
      </w:r>
    </w:p>
    <w:p>
      <w:r>
        <w:rPr>
          <w:b/>
          <w:i w:val="0"/>
          <w:color w:val="333333"/>
          <w:sz w:val="22"/>
        </w:rPr>
        <w:br/>
        <w:t xml:space="preserve">Conclusion Légale : </w:t>
      </w:r>
    </w:p>
    <w:p>
      <w:r>
        <w:rPr>
          <w:b w:val="0"/>
          <w:i w:val="0"/>
          <w:color w:val="333333"/>
          <w:sz w:val="22"/>
        </w:rPr>
        <w:t>Le projet démontre une prise en compte très sérieuse des contraintes réglementaires. MiFID II et RGPD ont été intégrés by design, dès la conception. L'architecture respecte les principes fondamentaux qui seraient exigés en production réelle.</w:t>
      </w:r>
    </w:p>
    <w:p/>
    <w:p>
      <w:pPr>
        <w:pStyle w:val="Heading2"/>
      </w:pPr>
      <w:r>
        <w:rPr>
          <w:color w:val="1F6EB4"/>
          <w:sz w:val="26"/>
        </w:rPr>
        <w:t>3.4 Organisationnel (O)</w:t>
      </w:r>
    </w:p>
    <w:p>
      <w:r>
        <w:rPr>
          <w:b w:val="0"/>
          <w:i w:val="0"/>
          <w:color w:val="333333"/>
          <w:sz w:val="22"/>
        </w:rPr>
        <w:t>La dimension organisationnelle évalue les ressources humaines, la logistique et la gestion du projet au sein de l'équipe.</w:t>
      </w:r>
    </w:p>
    <w:p>
      <w:pPr>
        <w:pStyle w:val="Heading3"/>
      </w:pPr>
      <w:r>
        <w:rPr>
          <w:color w:val="2E86AB"/>
          <w:sz w:val="24"/>
        </w:rPr>
        <w:t>Équipe et répartition du travail</w:t>
      </w:r>
    </w:p>
    <w:p>
      <w:r>
        <w:rPr>
          <w:b w:val="0"/>
          <w:i w:val="0"/>
          <w:color w:val="333333"/>
          <w:sz w:val="22"/>
        </w:rPr>
        <w:t>Le projet a été conduit par une équipe de 4 étudiants, avec une organisation par domaines de compétences et un développement itératif structuré en phases successives :</w:t>
      </w:r>
    </w:p>
    <w:p>
      <w:pPr>
        <w:pStyle w:val="ListBullet"/>
      </w:pPr>
      <w:r>
        <w:rPr>
          <w:color w:val="333333"/>
          <w:sz w:val="22"/>
        </w:rPr>
        <w:t>Développement itératif par phases : le projet a été découpé en 12 phases (Phase 1 : modèle mathématique → Phase 12 : déploiement cloud), permettant des livraisons progressives et testables.</w:t>
      </w:r>
    </w:p>
    <w:p>
      <w:pPr>
        <w:pStyle w:val="ListBullet"/>
      </w:pPr>
      <w:r>
        <w:rPr>
          <w:color w:val="333333"/>
          <w:sz w:val="22"/>
        </w:rPr>
        <w:t>Documentation interne : README.md maintenu en continu comme documentation principale du projet.</w:t>
      </w:r>
    </w:p>
    <w:p>
      <w:pPr>
        <w:pStyle w:val="ListBullet"/>
      </w:pPr>
      <w:r>
        <w:rPr>
          <w:color w:val="333333"/>
          <w:sz w:val="22"/>
        </w:rPr>
        <w:t>Scripts de maintenance : 3 scripts essentiels dans scripts/ (seeding, migration, debug, refresh univers) structurent les opérations récurrentes.</w:t>
      </w:r>
    </w:p>
    <w:p>
      <w:pPr>
        <w:pStyle w:val="ListBullet"/>
      </w:pPr>
      <w:r>
        <w:rPr>
          <w:color w:val="333333"/>
          <w:sz w:val="22"/>
        </w:rPr>
        <w:t>Tests automatisés : dossier tests/ avec pytest et httpx.</w:t>
      </w:r>
    </w:p>
    <w:p>
      <w:pPr>
        <w:pStyle w:val="ListBullet"/>
      </w:pPr>
      <w:r>
        <w:rPr>
          <w:color w:val="333333"/>
          <w:sz w:val="22"/>
        </w:rPr>
        <w:t>Gestion multi-plateforme : scripts de lancement pour Mac (lancer_app_mac.sh) et Windows (lancer_app_win.bat).</w:t>
      </w:r>
    </w:p>
    <w:p>
      <w:pPr>
        <w:pStyle w:val="ListBullet"/>
      </w:pPr>
      <w:r>
        <w:rPr>
          <w:color w:val="333333"/>
          <w:sz w:val="22"/>
        </w:rPr>
        <w:t>Versioning : projet géré sous Git (.gitignore configuré).</w:t>
      </w:r>
    </w:p>
    <w:p>
      <w:pPr>
        <w:pStyle w:val="Heading3"/>
      </w:pPr>
      <w:r>
        <w:rPr>
          <w:color w:val="2E86AB"/>
          <w:sz w:val="24"/>
        </w:rPr>
        <w:t>Architecture technique bien structurée</w:t>
      </w:r>
    </w:p>
    <w:p>
      <w:pPr>
        <w:pStyle w:val="ListBullet"/>
      </w:pPr>
      <w:r>
        <w:rPr>
          <w:color w:val="333333"/>
          <w:sz w:val="22"/>
        </w:rPr>
        <w:t>src/api/ : 5 routers (core, auth, portfolio, training, RGPD) — 30+ endpoints</w:t>
      </w:r>
    </w:p>
    <w:p>
      <w:pPr>
        <w:pStyle w:val="ListBullet"/>
      </w:pPr>
      <w:r>
        <w:rPr>
          <w:color w:val="333333"/>
          <w:sz w:val="22"/>
        </w:rPr>
        <w:t>src/portfolio/ : optimizer, recommender, explainer, filters, allocation</w:t>
      </w:r>
    </w:p>
    <w:p>
      <w:pPr>
        <w:pStyle w:val="ListBullet"/>
      </w:pPr>
      <w:r>
        <w:rPr>
          <w:color w:val="333333"/>
          <w:sz w:val="22"/>
        </w:rPr>
        <w:t>src/profile/ : suggestion_rules, suggestion_engine, profile_engine, profile_builder, schemas</w:t>
      </w:r>
    </w:p>
    <w:p>
      <w:pPr>
        <w:pStyle w:val="ListBullet"/>
      </w:pPr>
      <w:r>
        <w:rPr>
          <w:color w:val="333333"/>
          <w:sz w:val="22"/>
        </w:rPr>
        <w:t>src/database/ : 9 modèles SQLAlchemy (User, SavedProfile, SavedPortfolio, Module, Lesson, Question, UserLessonProgress, UserTrainingStats, AuthToken) + seeding automatique</w:t>
      </w:r>
    </w:p>
    <w:p>
      <w:pPr>
        <w:pStyle w:val="ListBullet"/>
      </w:pPr>
      <w:r>
        <w:rPr>
          <w:color w:val="333333"/>
          <w:sz w:val="22"/>
        </w:rPr>
        <w:t>src/auth/ + src/utils/ : auth, dépendances, email_service (Resend API &amp; SMTP), config</w:t>
      </w:r>
    </w:p>
    <w:p>
      <w:pPr>
        <w:pStyle w:val="ListBullet"/>
      </w:pPr>
      <w:r>
        <w:rPr>
          <w:color w:val="333333"/>
          <w:sz w:val="22"/>
        </w:rPr>
        <w:t>templates/ : 16 pages HTML (dont mentions_legales.html, politique_confidentialite.html, gestion_donnees.html)</w:t>
      </w:r>
    </w:p>
    <w:p>
      <w:pPr>
        <w:pStyle w:val="ListBullet"/>
      </w:pPr>
      <w:r>
        <w:rPr>
          <w:color w:val="333333"/>
          <w:sz w:val="22"/>
        </w:rPr>
        <w:t>static/ : CSS + 7 fichiers JS (api.js, ui.js, smart-suggestions.js, cookie-consent.js, html2pdf, jsPDF, tour.js)</w:t>
      </w:r>
    </w:p>
    <w:p>
      <w:pPr>
        <w:pStyle w:val="ListBullet"/>
      </w:pPr>
      <w:r>
        <w:rPr>
          <w:color w:val="333333"/>
          <w:sz w:val="22"/>
        </w:rPr>
        <w:t>scripts/ : 3 scripts utilitaires (nettoyage effectué)</w:t>
      </w:r>
    </w:p>
    <w:p>
      <w:r>
        <w:rPr>
          <w:b/>
          <w:i w:val="0"/>
          <w:color w:val="333333"/>
          <w:sz w:val="22"/>
        </w:rPr>
        <w:br/>
        <w:t xml:space="preserve">Conclusion Organisationnelle : </w:t>
      </w:r>
    </w:p>
    <w:p>
      <w:r>
        <w:rPr>
          <w:b w:val="0"/>
          <w:i w:val="0"/>
          <w:color w:val="333333"/>
          <w:sz w:val="22"/>
        </w:rPr>
        <w:t>La structure du projet est solide et bien organisée. La décomposition en 12 phases claires, la documentation soignée, la séparation stricte des responsabilités et la collaboration en équipe de 4 témoignent d'une rigueur organisationnelle adaptée à un projet de cette envergure.</w:t>
      </w:r>
    </w:p>
    <w:p/>
    <w:p>
      <w:pPr>
        <w:pStyle w:val="Heading2"/>
      </w:pPr>
      <w:r>
        <w:rPr>
          <w:color w:val="1F6EB4"/>
          <w:sz w:val="26"/>
        </w:rPr>
        <w:t>3.5 Scheduling — Calendrier (S)</w:t>
      </w:r>
    </w:p>
    <w:p>
      <w:r>
        <w:rPr>
          <w:b w:val="0"/>
          <w:i w:val="0"/>
          <w:color w:val="333333"/>
          <w:sz w:val="22"/>
        </w:rPr>
        <w:t>Évaluation du respect du calendrier et de la priorisation des phases.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1F6EB4"/>
          </w:tcPr>
          <w:p>
            <w:pPr>
              <w:jc w:val="center"/>
            </w:pPr>
            <w:r>
              <w:rPr>
                <w:b/>
                <w:color w:val="FFFFFF"/>
                <w:sz w:val="18"/>
              </w:rPr>
              <w:t>Phase</w:t>
            </w:r>
          </w:p>
        </w:tc>
        <w:tc>
          <w:tcPr>
            <w:tcW w:type="dxa" w:w="2209"/>
            <w:shd w:val="clear" w:color="auto" w:fill="1F6EB4"/>
          </w:tcPr>
          <w:p>
            <w:pPr>
              <w:jc w:val="center"/>
            </w:pPr>
            <w:r>
              <w:rPr>
                <w:b/>
                <w:color w:val="FFFFFF"/>
                <w:sz w:val="18"/>
              </w:rPr>
              <w:t>Période</w:t>
            </w:r>
          </w:p>
        </w:tc>
        <w:tc>
          <w:tcPr>
            <w:tcW w:type="dxa" w:w="2209"/>
            <w:shd w:val="clear" w:color="auto" w:fill="1F6EB4"/>
          </w:tcPr>
          <w:p>
            <w:pPr>
              <w:jc w:val="center"/>
            </w:pPr>
            <w:r>
              <w:rPr>
                <w:b/>
                <w:color w:val="FFFFFF"/>
                <w:sz w:val="18"/>
              </w:rPr>
              <w:t>Contenu livré</w:t>
            </w:r>
          </w:p>
        </w:tc>
        <w:tc>
          <w:tcPr>
            <w:tcW w:type="dxa" w:w="2209"/>
            <w:shd w:val="clear" w:color="auto" w:fill="1F6EB4"/>
          </w:tcPr>
          <w:p>
            <w:pPr>
              <w:jc w:val="center"/>
            </w:pPr>
            <w:r>
              <w:rPr>
                <w:b/>
                <w:color w:val="FFFFFF"/>
                <w:sz w:val="18"/>
              </w:rPr>
              <w:t>Statut</w:t>
            </w:r>
          </w:p>
        </w:tc>
      </w:tr>
      <w:tr>
        <w:tc>
          <w:tcPr>
            <w:tcW w:type="dxa" w:w="2209"/>
            <w:shd w:val="clear" w:color="auto" w:fill="EFF4FB"/>
          </w:tcPr>
          <w:p>
            <w:r>
              <w:rPr>
                <w:sz w:val="18"/>
              </w:rPr>
              <w:t>Phase 1–2</w:t>
            </w:r>
          </w:p>
        </w:tc>
        <w:tc>
          <w:tcPr>
            <w:tcW w:type="dxa" w:w="2209"/>
            <w:shd w:val="clear" w:color="auto" w:fill="EFF4FB"/>
          </w:tcPr>
          <w:p>
            <w:r>
              <w:rPr>
                <w:sz w:val="18"/>
              </w:rPr>
              <w:t>Déc. 2025</w:t>
            </w:r>
          </w:p>
        </w:tc>
        <w:tc>
          <w:tcPr>
            <w:tcW w:type="dxa" w:w="2209"/>
            <w:shd w:val="clear" w:color="auto" w:fill="EFF4FB"/>
          </w:tcPr>
          <w:p>
            <w:r>
              <w:rPr>
                <w:sz w:val="18"/>
              </w:rPr>
              <w:t>Moteur mathématique Markowitz + plateforme web de base (FastAPI, SQLite, JWT)</w:t>
            </w:r>
          </w:p>
        </w:tc>
        <w:tc>
          <w:tcPr>
            <w:tcW w:type="dxa" w:w="2209"/>
            <w:shd w:val="clear" w:color="auto" w:fill="EFF4FB"/>
            <w:shd w:val="clear" w:color="auto" w:fill="D4EDDA"/>
          </w:tcPr>
          <w:p>
            <w:r>
              <w:rPr>
                <w:sz w:val="18"/>
              </w:rPr>
              <w:t>✅ Livré</w:t>
            </w:r>
          </w:p>
        </w:tc>
      </w:tr>
      <w:tr>
        <w:tc>
          <w:tcPr>
            <w:tcW w:type="dxa" w:w="2209"/>
          </w:tcPr>
          <w:p>
            <w:r>
              <w:rPr>
                <w:sz w:val="18"/>
              </w:rPr>
              <w:t>Phase 3–4</w:t>
            </w:r>
          </w:p>
        </w:tc>
        <w:tc>
          <w:tcPr>
            <w:tcW w:type="dxa" w:w="2209"/>
          </w:tcPr>
          <w:p>
            <w:r>
              <w:rPr>
                <w:sz w:val="18"/>
              </w:rPr>
              <w:t>Janv. 2026</w:t>
            </w:r>
          </w:p>
        </w:tc>
        <w:tc>
          <w:tcPr>
            <w:tcW w:type="dxa" w:w="2209"/>
          </w:tcPr>
          <w:p>
            <w:r>
              <w:rPr>
                <w:sz w:val="18"/>
              </w:rPr>
              <w:t>Black-Litterman + raffinement UX (explications, profil utilisateur)</w:t>
            </w:r>
          </w:p>
        </w:tc>
        <w:tc>
          <w:tcPr>
            <w:tcW w:type="dxa" w:w="2209"/>
            <w:shd w:val="clear" w:color="auto" w:fill="D4EDDA"/>
          </w:tcPr>
          <w:p>
            <w:r>
              <w:rPr>
                <w:sz w:val="18"/>
              </w:rPr>
              <w:t>✅ Livré</w:t>
            </w:r>
          </w:p>
        </w:tc>
      </w:tr>
      <w:tr>
        <w:tc>
          <w:tcPr>
            <w:tcW w:type="dxa" w:w="2209"/>
            <w:shd w:val="clear" w:color="auto" w:fill="EFF4FB"/>
          </w:tcPr>
          <w:p>
            <w:r>
              <w:rPr>
                <w:sz w:val="18"/>
              </w:rPr>
              <w:t>Phase 5–6</w:t>
            </w:r>
          </w:p>
        </w:tc>
        <w:tc>
          <w:tcPr>
            <w:tcW w:type="dxa" w:w="2209"/>
            <w:shd w:val="clear" w:color="auto" w:fill="EFF4FB"/>
          </w:tcPr>
          <w:p>
            <w:r>
              <w:rPr>
                <w:sz w:val="18"/>
              </w:rPr>
              <w:t>Janv. 2026</w:t>
            </w:r>
          </w:p>
        </w:tc>
        <w:tc>
          <w:tcPr>
            <w:tcW w:type="dxa" w:w="2209"/>
            <w:shd w:val="clear" w:color="auto" w:fill="EFF4FB"/>
          </w:tcPr>
          <w:p>
            <w:r>
              <w:rPr>
                <w:sz w:val="18"/>
              </w:rPr>
              <w:t>Contraintes réalistes (2–10 actifs), cycle de vie portefeuille (accepter/refuser), exclusion actifs</w:t>
            </w:r>
          </w:p>
        </w:tc>
        <w:tc>
          <w:tcPr>
            <w:tcW w:type="dxa" w:w="2209"/>
            <w:shd w:val="clear" w:color="auto" w:fill="EFF4FB"/>
            <w:shd w:val="clear" w:color="auto" w:fill="D4EDDA"/>
          </w:tcPr>
          <w:p>
            <w:r>
              <w:rPr>
                <w:sz w:val="18"/>
              </w:rPr>
              <w:t>✅ Livré</w:t>
            </w:r>
          </w:p>
        </w:tc>
      </w:tr>
      <w:tr>
        <w:tc>
          <w:tcPr>
            <w:tcW w:type="dxa" w:w="2209"/>
          </w:tcPr>
          <w:p>
            <w:r>
              <w:rPr>
                <w:sz w:val="18"/>
              </w:rPr>
              <w:t>Phase 7–9</w:t>
            </w:r>
          </w:p>
        </w:tc>
        <w:tc>
          <w:tcPr>
            <w:tcW w:type="dxa" w:w="2209"/>
          </w:tcPr>
          <w:p>
            <w:r>
              <w:rPr>
                <w:sz w:val="18"/>
              </w:rPr>
              <w:t>Fév. 2026</w:t>
            </w:r>
          </w:p>
        </w:tc>
        <w:tc>
          <w:tcPr>
            <w:tcW w:type="dxa" w:w="2209"/>
          </w:tcPr>
          <w:p>
            <w:r>
              <w:rPr>
                <w:sz w:val="18"/>
              </w:rPr>
              <w:t>Transparence, moteur suggestions temps réel, Safety-First, conformité MiFID II complète</w:t>
            </w:r>
          </w:p>
        </w:tc>
        <w:tc>
          <w:tcPr>
            <w:tcW w:type="dxa" w:w="2209"/>
            <w:shd w:val="clear" w:color="auto" w:fill="D4EDDA"/>
          </w:tcPr>
          <w:p>
            <w:r>
              <w:rPr>
                <w:sz w:val="18"/>
              </w:rPr>
              <w:t>✅ Livré</w:t>
            </w:r>
          </w:p>
        </w:tc>
      </w:tr>
      <w:tr>
        <w:tc>
          <w:tcPr>
            <w:tcW w:type="dxa" w:w="2209"/>
            <w:shd w:val="clear" w:color="auto" w:fill="EFF4FB"/>
          </w:tcPr>
          <w:p>
            <w:r>
              <w:rPr>
                <w:sz w:val="18"/>
              </w:rPr>
              <w:t>Phase 10–11</w:t>
            </w:r>
          </w:p>
        </w:tc>
        <w:tc>
          <w:tcPr>
            <w:tcW w:type="dxa" w:w="2209"/>
            <w:shd w:val="clear" w:color="auto" w:fill="EFF4FB"/>
          </w:tcPr>
          <w:p>
            <w:r>
              <w:rPr>
                <w:sz w:val="18"/>
              </w:rPr>
              <w:t>Fév. 2026</w:t>
            </w:r>
          </w:p>
        </w:tc>
        <w:tc>
          <w:tcPr>
            <w:tcW w:type="dxa" w:w="2209"/>
            <w:shd w:val="clear" w:color="auto" w:fill="EFF4FB"/>
          </w:tcPr>
          <w:p>
            <w:r>
              <w:rPr>
                <w:sz w:val="18"/>
              </w:rPr>
              <w:t>Expansion univers (479 actifs), classification dynamique des profils, verrouillage Black-Litterman, RGPD complet</w:t>
            </w:r>
          </w:p>
        </w:tc>
        <w:tc>
          <w:tcPr>
            <w:tcW w:type="dxa" w:w="2209"/>
            <w:shd w:val="clear" w:color="auto" w:fill="EFF4FB"/>
            <w:shd w:val="clear" w:color="auto" w:fill="D4EDDA"/>
          </w:tcPr>
          <w:p>
            <w:r>
              <w:rPr>
                <w:sz w:val="18"/>
              </w:rPr>
              <w:t>✅ Livré</w:t>
            </w:r>
          </w:p>
        </w:tc>
      </w:tr>
      <w:tr>
        <w:tc>
          <w:tcPr>
            <w:tcW w:type="dxa" w:w="2209"/>
          </w:tcPr>
          <w:p>
            <w:r>
              <w:rPr>
                <w:sz w:val="18"/>
              </w:rPr>
              <w:t>Academy</w:t>
            </w:r>
          </w:p>
        </w:tc>
        <w:tc>
          <w:tcPr>
            <w:tcW w:type="dxa" w:w="2209"/>
          </w:tcPr>
          <w:p>
            <w:r>
              <w:rPr>
                <w:sz w:val="18"/>
              </w:rPr>
              <w:t>Fév. 2026</w:t>
            </w:r>
          </w:p>
        </w:tc>
        <w:tc>
          <w:tcPr>
            <w:tcW w:type="dxa" w:w="2209"/>
          </w:tcPr>
          <w:p>
            <w:r>
              <w:rPr>
                <w:sz w:val="18"/>
              </w:rPr>
              <w:t>Modules pédagogiques, leçons, quiz (QCM / vrai-faux / numérique), XP, streaks, gamification</w:t>
            </w:r>
          </w:p>
        </w:tc>
        <w:tc>
          <w:tcPr>
            <w:tcW w:type="dxa" w:w="2209"/>
            <w:shd w:val="clear" w:color="auto" w:fill="D4EDDA"/>
          </w:tcPr>
          <w:p>
            <w:r>
              <w:rPr>
                <w:sz w:val="18"/>
              </w:rPr>
              <w:t>✅ Livré</w:t>
            </w:r>
          </w:p>
        </w:tc>
      </w:tr>
      <w:tr>
        <w:tc>
          <w:tcPr>
            <w:tcW w:type="dxa" w:w="2209"/>
            <w:shd w:val="clear" w:color="auto" w:fill="EFF4FB"/>
          </w:tcPr>
          <w:p>
            <w:r>
              <w:rPr>
                <w:sz w:val="18"/>
              </w:rPr>
              <w:t>Phase 12</w:t>
            </w:r>
          </w:p>
        </w:tc>
        <w:tc>
          <w:tcPr>
            <w:tcW w:type="dxa" w:w="2209"/>
            <w:shd w:val="clear" w:color="auto" w:fill="EFF4FB"/>
          </w:tcPr>
          <w:p>
            <w:r>
              <w:rPr>
                <w:sz w:val="18"/>
              </w:rPr>
              <w:t>Mars 2026</w:t>
            </w:r>
          </w:p>
        </w:tc>
        <w:tc>
          <w:tcPr>
            <w:tcW w:type="dxa" w:w="2209"/>
            <w:shd w:val="clear" w:color="auto" w:fill="EFF4FB"/>
          </w:tcPr>
          <w:p>
            <w:r>
              <w:rPr>
                <w:sz w:val="18"/>
              </w:rPr>
              <w:t>Vérification e-mail, reset MDP, explorateur d'univers d'actifs (explorer.html), export PDF, Plotly (graphiques interactifs), CVXPY, configuration Render</w:t>
            </w:r>
          </w:p>
        </w:tc>
        <w:tc>
          <w:tcPr>
            <w:tcW w:type="dxa" w:w="2209"/>
            <w:shd w:val="clear" w:color="auto" w:fill="EFF4FB"/>
            <w:shd w:val="clear" w:color="auto" w:fill="D4EDDA"/>
          </w:tcPr>
          <w:p>
            <w:r>
              <w:rPr>
                <w:sz w:val="18"/>
              </w:rPr>
              <w:t>✅ Livré</w:t>
            </w:r>
          </w:p>
        </w:tc>
      </w:tr>
    </w:tbl>
    <w:p/>
    <w:p>
      <w:r>
        <w:rPr>
          <w:b/>
          <w:i w:val="0"/>
          <w:color w:val="333333"/>
          <w:sz w:val="22"/>
        </w:rPr>
        <w:br/>
        <w:t xml:space="preserve">Conclusion Scheduling : </w:t>
      </w:r>
    </w:p>
    <w:p>
      <w:r>
        <w:rPr>
          <w:b w:val="0"/>
          <w:i w:val="0"/>
          <w:color w:val="333333"/>
          <w:sz w:val="22"/>
        </w:rPr>
        <w:t>Le calendrier a été respecté. Les 12 phases de développement ont été réalisées en environ 3 mois (décembre 2025 – mars 2026), avec une progression cohérente du MVP vers un produit complet et deployable. La principale contrainte du PPE (délai de livraison) a été anticipée par un découpage en phases livrables indépendamment.</w:t>
      </w:r>
    </w:p>
    <w:p/>
    <w:p>
      <w:pPr>
        <w:pStyle w:val="Heading1"/>
      </w:pPr>
      <w:r>
        <w:rPr>
          <w:color w:val="1A2E5A"/>
          <w:sz w:val="32"/>
        </w:rPr>
        <w:t>4. Conclusions et recommandations</w:t>
      </w:r>
    </w:p>
    <w:p>
      <w:pPr>
        <w:pStyle w:val="Heading2"/>
      </w:pPr>
      <w:r>
        <w:rPr>
          <w:color w:val="1F6EB4"/>
          <w:sz w:val="26"/>
        </w:rPr>
        <w:t>4.1 Synthèse TELOS</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1A2E5A"/>
          </w:tcPr>
          <w:p>
            <w:pPr>
              <w:jc w:val="center"/>
            </w:pPr>
            <w:r>
              <w:rPr>
                <w:b/>
                <w:color w:val="FFFFFF"/>
                <w:sz w:val="18"/>
              </w:rPr>
              <w:t>Dimension</w:t>
            </w:r>
          </w:p>
        </w:tc>
        <w:tc>
          <w:tcPr>
            <w:tcW w:type="dxa" w:w="2946"/>
            <w:shd w:val="clear" w:color="auto" w:fill="1A2E5A"/>
          </w:tcPr>
          <w:p>
            <w:pPr>
              <w:jc w:val="center"/>
            </w:pPr>
            <w:r>
              <w:rPr>
                <w:b/>
                <w:color w:val="FFFFFF"/>
                <w:sz w:val="18"/>
              </w:rPr>
              <w:t>Résumé</w:t>
            </w:r>
          </w:p>
        </w:tc>
        <w:tc>
          <w:tcPr>
            <w:tcW w:type="dxa" w:w="2946"/>
            <w:shd w:val="clear" w:color="auto" w:fill="1A2E5A"/>
          </w:tcPr>
          <w:p>
            <w:pPr>
              <w:jc w:val="center"/>
            </w:pPr>
            <w:r>
              <w:rPr>
                <w:b/>
                <w:color w:val="FFFFFF"/>
                <w:sz w:val="18"/>
              </w:rPr>
              <w:t>Verdict global</w:t>
            </w:r>
          </w:p>
        </w:tc>
      </w:tr>
      <w:tr>
        <w:tc>
          <w:tcPr>
            <w:tcW w:type="dxa" w:w="2946"/>
            <w:shd w:val="clear" w:color="auto" w:fill="EFF4FB"/>
          </w:tcPr>
          <w:p>
            <w:r>
              <w:rPr>
                <w:sz w:val="18"/>
              </w:rPr>
              <w:t>T – Technique</w:t>
            </w:r>
          </w:p>
        </w:tc>
        <w:tc>
          <w:tcPr>
            <w:tcW w:type="dxa" w:w="2946"/>
            <w:shd w:val="clear" w:color="auto" w:fill="EFF4FB"/>
          </w:tcPr>
          <w:p>
            <w:r>
              <w:rPr>
                <w:sz w:val="18"/>
              </w:rPr>
              <w:t>Stack complète maîtrisée. Markowitz + Black-Litterman + CVXPY. Tenacity pour la résilience yfinance.</w:t>
            </w:r>
          </w:p>
        </w:tc>
        <w:tc>
          <w:tcPr>
            <w:tcW w:type="dxa" w:w="2946"/>
            <w:shd w:val="clear" w:color="auto" w:fill="EFF4FB"/>
            <w:shd w:val="clear" w:color="auto" w:fill="D4EDDA"/>
          </w:tcPr>
          <w:p>
            <w:r>
              <w:rPr>
                <w:sz w:val="20"/>
              </w:rPr>
              <w:t>✅ Favorable</w:t>
            </w:r>
          </w:p>
        </w:tc>
      </w:tr>
      <w:tr>
        <w:tc>
          <w:tcPr>
            <w:tcW w:type="dxa" w:w="2946"/>
          </w:tcPr>
          <w:p>
            <w:r>
              <w:rPr>
                <w:sz w:val="18"/>
              </w:rPr>
              <w:t>E – Économique</w:t>
            </w:r>
          </w:p>
        </w:tc>
        <w:tc>
          <w:tcPr>
            <w:tcW w:type="dxa" w:w="2946"/>
          </w:tcPr>
          <w:p>
            <w:r>
              <w:rPr>
                <w:sz w:val="18"/>
              </w:rPr>
              <w:t>Coût zéro en phase académique. Déploiement cloud gratuit (Render). Stack 100% open-source.</w:t>
            </w:r>
          </w:p>
        </w:tc>
        <w:tc>
          <w:tcPr>
            <w:tcW w:type="dxa" w:w="2946"/>
            <w:shd w:val="clear" w:color="auto" w:fill="D4EDDA"/>
          </w:tcPr>
          <w:p>
            <w:r>
              <w:rPr>
                <w:sz w:val="20"/>
              </w:rPr>
              <w:t>✅ Favorable</w:t>
            </w:r>
          </w:p>
        </w:tc>
      </w:tr>
      <w:tr>
        <w:tc>
          <w:tcPr>
            <w:tcW w:type="dxa" w:w="2946"/>
            <w:shd w:val="clear" w:color="auto" w:fill="EFF4FB"/>
          </w:tcPr>
          <w:p>
            <w:r>
              <w:rPr>
                <w:sz w:val="18"/>
              </w:rPr>
              <w:t>L – Légal</w:t>
            </w:r>
          </w:p>
        </w:tc>
        <w:tc>
          <w:tcPr>
            <w:tcW w:type="dxa" w:w="2946"/>
            <w:shd w:val="clear" w:color="auto" w:fill="EFF4FB"/>
          </w:tcPr>
          <w:p>
            <w:r>
              <w:rPr>
                <w:sz w:val="18"/>
              </w:rPr>
              <w:t>MiFID II et RGPD intégrés by design. Vérif. e-mail, reset MDP, consentements, export/suppression données.</w:t>
            </w:r>
          </w:p>
        </w:tc>
        <w:tc>
          <w:tcPr>
            <w:tcW w:type="dxa" w:w="2946"/>
            <w:shd w:val="clear" w:color="auto" w:fill="EFF4FB"/>
            <w:shd w:val="clear" w:color="auto" w:fill="D4EDDA"/>
          </w:tcPr>
          <w:p>
            <w:r>
              <w:rPr>
                <w:sz w:val="20"/>
              </w:rPr>
              <w:t>✅ Favorable</w:t>
            </w:r>
          </w:p>
        </w:tc>
      </w:tr>
      <w:tr>
        <w:tc>
          <w:tcPr>
            <w:tcW w:type="dxa" w:w="2946"/>
          </w:tcPr>
          <w:p>
            <w:r>
              <w:rPr>
                <w:sz w:val="18"/>
              </w:rPr>
              <w:t>O – Organisationnel</w:t>
            </w:r>
          </w:p>
        </w:tc>
        <w:tc>
          <w:tcPr>
            <w:tcW w:type="dxa" w:w="2946"/>
          </w:tcPr>
          <w:p>
            <w:r>
              <w:rPr>
                <w:sz w:val="18"/>
              </w:rPr>
              <w:t>Équipe de 4. 12 phases bien découpées, architecture claire, documentation rigoureuse.</w:t>
            </w:r>
          </w:p>
        </w:tc>
        <w:tc>
          <w:tcPr>
            <w:tcW w:type="dxa" w:w="2946"/>
            <w:shd w:val="clear" w:color="auto" w:fill="D4EDDA"/>
          </w:tcPr>
          <w:p>
            <w:r>
              <w:rPr>
                <w:sz w:val="20"/>
              </w:rPr>
              <w:t>✅ Favorable</w:t>
            </w:r>
          </w:p>
        </w:tc>
      </w:tr>
      <w:tr>
        <w:tc>
          <w:tcPr>
            <w:tcW w:type="dxa" w:w="2946"/>
            <w:shd w:val="clear" w:color="auto" w:fill="EFF4FB"/>
          </w:tcPr>
          <w:p>
            <w:r>
              <w:rPr>
                <w:sz w:val="18"/>
              </w:rPr>
              <w:t>S – Scheduling</w:t>
            </w:r>
          </w:p>
        </w:tc>
        <w:tc>
          <w:tcPr>
            <w:tcW w:type="dxa" w:w="2946"/>
            <w:shd w:val="clear" w:color="auto" w:fill="EFF4FB"/>
          </w:tcPr>
          <w:p>
            <w:r>
              <w:rPr>
                <w:sz w:val="18"/>
              </w:rPr>
              <w:t>12 phases livrées en 3 mois. Calendrier respecté, progression maîtrisée.</w:t>
            </w:r>
          </w:p>
        </w:tc>
        <w:tc>
          <w:tcPr>
            <w:tcW w:type="dxa" w:w="2946"/>
            <w:shd w:val="clear" w:color="auto" w:fill="EFF4FB"/>
            <w:shd w:val="clear" w:color="auto" w:fill="D4EDDA"/>
          </w:tcPr>
          <w:p>
            <w:r>
              <w:rPr>
                <w:sz w:val="20"/>
              </w:rPr>
              <w:t>✅ Favorable</w:t>
            </w:r>
          </w:p>
        </w:tc>
      </w:tr>
    </w:tbl>
    <w:p/>
    <w:p>
      <w:pPr>
        <w:pStyle w:val="Heading2"/>
      </w:pPr>
      <w:r>
        <w:rPr>
          <w:color w:val="1F6EB4"/>
          <w:sz w:val="26"/>
        </w:rPr>
        <w:t>4.2 Faisabilité globale</w:t>
      </w:r>
    </w:p>
    <w:p>
      <w:r>
        <w:rPr>
          <w:b w:val="0"/>
          <w:i w:val="0"/>
          <w:color w:val="333333"/>
          <w:sz w:val="22"/>
        </w:rPr>
        <w:t>Le projet CapInvest Robo-Advisor est globalement faisable et a été réalisé avec succès. Les 5 dimensions TELOS sont toutes favorables. Sur le plan technique, économique, légal, organisationnel et temporel, le projet répond aux critères d'un développement rigoureux et viable.</w:t>
      </w:r>
    </w:p>
    <w:p>
      <w:pPr>
        <w:pStyle w:val="Heading2"/>
      </w:pPr>
      <w:r>
        <w:rPr>
          <w:color w:val="1F6EB4"/>
          <w:sz w:val="26"/>
        </w:rPr>
        <w:t>4.3 Risques identifiés et mitigation</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1A2E5A"/>
          </w:tcPr>
          <w:p>
            <w:pPr>
              <w:jc w:val="center"/>
            </w:pPr>
            <w:r>
              <w:rPr>
                <w:b/>
                <w:color w:val="FFFFFF"/>
                <w:sz w:val="18"/>
              </w:rPr>
              <w:t>Risque</w:t>
            </w:r>
          </w:p>
        </w:tc>
        <w:tc>
          <w:tcPr>
            <w:tcW w:type="dxa" w:w="2209"/>
            <w:shd w:val="clear" w:color="auto" w:fill="1A2E5A"/>
          </w:tcPr>
          <w:p>
            <w:pPr>
              <w:jc w:val="center"/>
            </w:pPr>
            <w:r>
              <w:rPr>
                <w:b/>
                <w:color w:val="FFFFFF"/>
                <w:sz w:val="18"/>
              </w:rPr>
              <w:t>Probabilité</w:t>
            </w:r>
          </w:p>
        </w:tc>
        <w:tc>
          <w:tcPr>
            <w:tcW w:type="dxa" w:w="2209"/>
            <w:shd w:val="clear" w:color="auto" w:fill="1A2E5A"/>
          </w:tcPr>
          <w:p>
            <w:pPr>
              <w:jc w:val="center"/>
            </w:pPr>
            <w:r>
              <w:rPr>
                <w:b/>
                <w:color w:val="FFFFFF"/>
                <w:sz w:val="18"/>
              </w:rPr>
              <w:t>Impact potentiel</w:t>
            </w:r>
          </w:p>
        </w:tc>
        <w:tc>
          <w:tcPr>
            <w:tcW w:type="dxa" w:w="2209"/>
            <w:shd w:val="clear" w:color="auto" w:fill="1A2E5A"/>
          </w:tcPr>
          <w:p>
            <w:pPr>
              <w:jc w:val="center"/>
            </w:pPr>
            <w:r>
              <w:rPr>
                <w:b/>
                <w:color w:val="FFFFFF"/>
                <w:sz w:val="18"/>
              </w:rPr>
              <w:t>Mitigation</w:t>
            </w:r>
          </w:p>
        </w:tc>
      </w:tr>
      <w:tr>
        <w:tc>
          <w:tcPr>
            <w:tcW w:type="dxa" w:w="2209"/>
            <w:shd w:val="clear" w:color="auto" w:fill="EFF4FB"/>
          </w:tcPr>
          <w:p>
            <w:r>
              <w:rPr>
                <w:sz w:val="18"/>
              </w:rPr>
              <w:t>Dépendance à Yahoo Finance</w:t>
            </w:r>
          </w:p>
        </w:tc>
        <w:tc>
          <w:tcPr>
            <w:tcW w:type="dxa" w:w="2209"/>
            <w:shd w:val="clear" w:color="auto" w:fill="EFF4FB"/>
            <w:shd w:val="clear" w:color="auto" w:fill="FFF3CD"/>
          </w:tcPr>
          <w:p>
            <w:r>
              <w:rPr>
                <w:sz w:val="18"/>
              </w:rPr>
              <w:t>Moyen</w:t>
            </w:r>
          </w:p>
        </w:tc>
        <w:tc>
          <w:tcPr>
            <w:tcW w:type="dxa" w:w="2209"/>
            <w:shd w:val="clear" w:color="auto" w:fill="EFF4FB"/>
          </w:tcPr>
          <w:p>
            <w:r>
              <w:rPr>
                <w:sz w:val="18"/>
              </w:rPr>
              <w:t>API gratuite non garantie (rate limits, données manquantes)</w:t>
            </w:r>
          </w:p>
        </w:tc>
        <w:tc>
          <w:tcPr>
            <w:tcW w:type="dxa" w:w="2209"/>
            <w:shd w:val="clear" w:color="auto" w:fill="EFF4FB"/>
          </w:tcPr>
          <w:p>
            <w:r>
              <w:rPr>
                <w:sz w:val="18"/>
              </w:rPr>
              <w:t>Cache 48h (universe.csv) + Tenacity pour retries automatiques + script refresh manuel</w:t>
            </w:r>
          </w:p>
        </w:tc>
      </w:tr>
      <w:tr>
        <w:tc>
          <w:tcPr>
            <w:tcW w:type="dxa" w:w="2209"/>
          </w:tcPr>
          <w:p>
            <w:r>
              <w:rPr>
                <w:sz w:val="18"/>
              </w:rPr>
              <w:t>Service e-mail tiers (Resend/Gmail)</w:t>
            </w:r>
          </w:p>
        </w:tc>
        <w:tc>
          <w:tcPr>
            <w:tcW w:type="dxa" w:w="2209"/>
            <w:shd w:val="clear" w:color="auto" w:fill="D4EDDA"/>
          </w:tcPr>
          <w:p>
            <w:r>
              <w:rPr>
                <w:sz w:val="18"/>
              </w:rPr>
              <w:t>Faible</w:t>
            </w:r>
          </w:p>
        </w:tc>
        <w:tc>
          <w:tcPr>
            <w:tcW w:type="dxa" w:w="2209"/>
          </w:tcPr>
          <w:p>
            <w:r>
              <w:rPr>
                <w:sz w:val="18"/>
              </w:rPr>
              <w:t>La vérification de compte et le reset MDP dépendent de Resend (API) ou Gmail (SMTP)</w:t>
            </w:r>
          </w:p>
        </w:tc>
        <w:tc>
          <w:tcPr>
            <w:tcW w:type="dxa" w:w="2209"/>
          </w:tcPr>
          <w:p>
            <w:r>
              <w:rPr>
                <w:sz w:val="18"/>
              </w:rPr>
              <w:t>Utilisation du plan gratuit Resend + fallback SMTP. Transition vers un plan Pro Resend/Postmark recommandée en production.</w:t>
            </w:r>
          </w:p>
        </w:tc>
      </w:tr>
      <w:tr>
        <w:tc>
          <w:tcPr>
            <w:tcW w:type="dxa" w:w="2209"/>
            <w:shd w:val="clear" w:color="auto" w:fill="EFF4FB"/>
          </w:tcPr>
          <w:p>
            <w:r>
              <w:rPr>
                <w:sz w:val="18"/>
              </w:rPr>
              <w:t>SQLite en multi-utilisateurs</w:t>
            </w:r>
          </w:p>
        </w:tc>
        <w:tc>
          <w:tcPr>
            <w:tcW w:type="dxa" w:w="2209"/>
            <w:shd w:val="clear" w:color="auto" w:fill="EFF4FB"/>
            <w:shd w:val="clear" w:color="auto" w:fill="D4EDDA"/>
          </w:tcPr>
          <w:p>
            <w:r>
              <w:rPr>
                <w:sz w:val="18"/>
              </w:rPr>
              <w:t>Faible (PPE)</w:t>
            </w:r>
          </w:p>
        </w:tc>
        <w:tc>
          <w:tcPr>
            <w:tcW w:type="dxa" w:w="2209"/>
            <w:shd w:val="clear" w:color="auto" w:fill="EFF4FB"/>
          </w:tcPr>
          <w:p>
            <w:r>
              <w:rPr>
                <w:sz w:val="18"/>
              </w:rPr>
              <w:t>SQLite non recommandé pour accès concurrent massif</w:t>
            </w:r>
          </w:p>
        </w:tc>
        <w:tc>
          <w:tcPr>
            <w:tcW w:type="dxa" w:w="2209"/>
            <w:shd w:val="clear" w:color="auto" w:fill="EFF4FB"/>
          </w:tcPr>
          <w:p>
            <w:r>
              <w:rPr>
                <w:sz w:val="18"/>
              </w:rPr>
              <w:t>Acceptable en phase académique. Migration PostgreSQL prévue si déploiement réel</w:t>
            </w:r>
          </w:p>
        </w:tc>
      </w:tr>
      <w:tr>
        <w:tc>
          <w:tcPr>
            <w:tcW w:type="dxa" w:w="2209"/>
          </w:tcPr>
          <w:p>
            <w:r>
              <w:rPr>
                <w:sz w:val="18"/>
              </w:rPr>
              <w:t>Agrément AMF non détenu</w:t>
            </w:r>
          </w:p>
        </w:tc>
        <w:tc>
          <w:tcPr>
            <w:tcW w:type="dxa" w:w="2209"/>
            <w:shd w:val="clear" w:color="auto" w:fill="D4EDDA"/>
          </w:tcPr>
          <w:p>
            <w:r>
              <w:rPr>
                <w:sz w:val="18"/>
              </w:rPr>
              <w:t>Faible (PPE)</w:t>
            </w:r>
          </w:p>
        </w:tc>
        <w:tc>
          <w:tcPr>
            <w:tcW w:type="dxa" w:w="2209"/>
          </w:tcPr>
          <w:p>
            <w:r>
              <w:rPr>
                <w:sz w:val="18"/>
              </w:rPr>
              <w:t>En conditions réelles, agrément requis pour conseil en investissement</w:t>
            </w:r>
          </w:p>
        </w:tc>
        <w:tc>
          <w:tcPr>
            <w:tcW w:type="dxa" w:w="2209"/>
          </w:tcPr>
          <w:p>
            <w:r>
              <w:rPr>
                <w:sz w:val="18"/>
              </w:rPr>
              <w:t>Périmètre académique défini. Conformité MiFID II démonstrable</w:t>
            </w:r>
          </w:p>
        </w:tc>
      </w:tr>
    </w:tbl>
    <w:p/>
    <w:p>
      <w:pPr>
        <w:pStyle w:val="Heading2"/>
      </w:pPr>
      <w:r>
        <w:rPr>
          <w:color w:val="1F6EB4"/>
          <w:sz w:val="26"/>
        </w:rPr>
        <w:t>4.4 Recommandations pour la suite</w:t>
      </w:r>
    </w:p>
    <w:p>
      <w:pPr>
        <w:pStyle w:val="ListBullet"/>
      </w:pPr>
      <w:r>
        <w:rPr>
          <w:color w:val="333333"/>
          <w:sz w:val="22"/>
        </w:rPr>
        <w:t>Passer à une instance Render payante pour supprimer les délais de réactivation (cold starts) et garantir une disponibilité continue.</w:t>
      </w:r>
    </w:p>
    <w:p>
      <w:pPr>
        <w:pStyle w:val="ListBullet"/>
      </w:pPr>
      <w:r>
        <w:rPr>
          <w:color w:val="333333"/>
          <w:sz w:val="22"/>
        </w:rPr>
        <w:t>Migrer vers PostgreSQL sur Render (le plan gratuit actuel utilise SQLite en local, limitant l'évolutivité).</w:t>
      </w:r>
    </w:p>
    <w:p>
      <w:pPr>
        <w:pStyle w:val="ListBullet"/>
      </w:pPr>
      <w:r>
        <w:rPr>
          <w:color w:val="333333"/>
          <w:sz w:val="22"/>
        </w:rPr>
        <w:t>Remplacer yfinance par une API financière professionnelle (ex: Bloomberg, Refinitiv) pour garantir la stabilité et la précision des flux de données.</w:t>
      </w:r>
    </w:p>
    <w:p>
      <w:pPr>
        <w:pStyle w:val="ListBullet"/>
      </w:pPr>
      <w:r>
        <w:rPr>
          <w:color w:val="333333"/>
          <w:sz w:val="22"/>
        </w:rPr>
        <w:t>Finaliser l'intégration poussée de scikit-learn pour affiner la classification automatique des profils investisseurs.</w:t>
      </w:r>
    </w:p>
    <w:p/>
    <w:p>
      <w:pPr>
        <w:pStyle w:val="Heading1"/>
      </w:pPr>
      <w:r>
        <w:rPr>
          <w:color w:val="1A2E5A"/>
          <w:sz w:val="32"/>
        </w:rPr>
        <w:t>5. Annexes</w:t>
      </w:r>
    </w:p>
    <w:p>
      <w:pPr>
        <w:pStyle w:val="Heading2"/>
      </w:pPr>
      <w:r>
        <w:rPr>
          <w:color w:val="1F6EB4"/>
          <w:sz w:val="26"/>
        </w:rPr>
        <w:t>Annexe A — Structure du projet (arborescence)</w:t>
      </w:r>
    </w:p>
    <w:p>
      <w:pPr>
        <w:pStyle w:val="NoSpacing"/>
      </w:pPr>
      <w:r>
        <w:rPr>
          <w:rFonts w:ascii="Courier New" w:hAnsi="Courier New"/>
          <w:color w:val="1A2E5A"/>
          <w:sz w:val="16"/>
        </w:rPr>
        <w:t>Projet PPE/</w:t>
        <w:br/>
        <w:t>├── src/</w:t>
        <w:br/>
        <w:t>│   ├── api/</w:t>
        <w:br/>
        <w:t>│   │   ├── main.py                    ← Point d'entrée FastAPI</w:t>
        <w:br/>
        <w:t>│   │   ├── endpoints.py               ← Routes portfolio &amp; profil</w:t>
        <w:br/>
        <w:t>│   │   └── auth_endpoints.py          ← Register, Login, Verify, Reset</w:t>
        <w:br/>
        <w:t>│   ├── portfolio/</w:t>
        <w:br/>
        <w:t>│   │   ├── optimizer.py               ← Markowitz + Black-Litterman</w:t>
        <w:br/>
        <w:t>│   │   └── explainer.py               ← Explications textuelles</w:t>
        <w:br/>
        <w:t>│   ├── profile/</w:t>
        <w:br/>
        <w:t>│   │   ├── suggestion_rules.py        ← MiFID II logic</w:t>
        <w:br/>
        <w:t>│   │   └── profile_engine.py          ← Profiler &amp; Cohérence</w:t>
        <w:br/>
        <w:t>│   ├── database/</w:t>
        <w:br/>
        <w:t>│   │   └── models.py                  ← 9 modèles SQLAlchemy</w:t>
        <w:br/>
        <w:t>│   └── data/                          ← Univese, loader, storage</w:t>
        <w:br/>
        <w:t>├── templates/                         ← 16 fichiers HTML</w:t>
        <w:br/>
        <w:t>├── static/                            ← JS &amp; CSS</w:t>
        <w:br/>
        <w:t>├── scripts/</w:t>
        <w:br/>
        <w:t>│   ├── refresh_universe.py            ← Mise à jour des données</w:t>
        <w:br/>
        <w:t>│   ├── generate_feasibility_study.py  ← Générateur de ce document</w:t>
        <w:br/>
        <w:t>│   └── bot_update_cycle.py            ← Cycle de mise à jour auto</w:t>
        <w:br/>
        <w:t>└── data/</w:t>
        <w:br/>
        <w:t xml:space="preserve">    └── universe.csv                   ← 479 actifs financiers</w:t>
      </w:r>
    </w:p>
    <w:p/>
    <w:p>
      <w:pPr>
        <w:pStyle w:val="Heading2"/>
      </w:pPr>
      <w:r>
        <w:rPr>
          <w:color w:val="1F6EB4"/>
          <w:sz w:val="26"/>
        </w:rPr>
        <w:t>Annexe B — Dépendances Python (requirements.txt)</w:t>
      </w:r>
    </w:p>
    <w:tbl>
      <w:tblPr>
        <w:tblStyle w:val="TableGrid"/>
        <w:tblW w:type="auto" w:w="0"/>
        <w:tblLook w:firstColumn="1" w:firstRow="1" w:lastColumn="0" w:lastRow="0" w:noHBand="0" w:noVBand="1" w:val="04A0"/>
      </w:tblPr>
      <w:tblGrid>
        <w:gridCol w:w="4419"/>
        <w:gridCol w:w="4419"/>
      </w:tblGrid>
      <w:tr>
        <w:tc>
          <w:tcPr>
            <w:tcW w:type="dxa" w:w="4419"/>
            <w:shd w:val="clear" w:color="auto" w:fill="1F6EB4"/>
          </w:tcPr>
          <w:p>
            <w:pPr>
              <w:jc w:val="center"/>
            </w:pPr>
            <w:r>
              <w:rPr>
                <w:b/>
                <w:color w:val="FFFFFF"/>
                <w:sz w:val="18"/>
              </w:rPr>
              <w:t>Package (requirements.txt)</w:t>
            </w:r>
          </w:p>
        </w:tc>
        <w:tc>
          <w:tcPr>
            <w:tcW w:type="dxa" w:w="4419"/>
            <w:shd w:val="clear" w:color="auto" w:fill="1F6EB4"/>
          </w:tcPr>
          <w:p>
            <w:pPr>
              <w:jc w:val="center"/>
            </w:pPr>
            <w:r>
              <w:rPr>
                <w:b/>
                <w:color w:val="FFFFFF"/>
                <w:sz w:val="18"/>
              </w:rPr>
              <w:t>Usage</w:t>
            </w:r>
          </w:p>
        </w:tc>
      </w:tr>
      <w:tr>
        <w:tc>
          <w:tcPr>
            <w:tcW w:type="dxa" w:w="4419"/>
            <w:shd w:val="clear" w:color="auto" w:fill="EFF4FB"/>
          </w:tcPr>
          <w:p>
            <w:r>
              <w:rPr>
                <w:rFonts w:ascii="Courier New" w:hAnsi="Courier New"/>
                <w:sz w:val="17"/>
              </w:rPr>
              <w:t>fastapi==0.129.0</w:t>
            </w:r>
          </w:p>
        </w:tc>
        <w:tc>
          <w:tcPr>
            <w:tcW w:type="dxa" w:w="4419"/>
            <w:shd w:val="clear" w:color="auto" w:fill="EFF4FB"/>
          </w:tcPr>
          <w:p>
            <w:r>
              <w:rPr>
                <w:sz w:val="18"/>
              </w:rPr>
              <w:t>Framework API REST</w:t>
            </w:r>
          </w:p>
        </w:tc>
      </w:tr>
      <w:tr>
        <w:tc>
          <w:tcPr>
            <w:tcW w:type="dxa" w:w="4419"/>
          </w:tcPr>
          <w:p>
            <w:r>
              <w:rPr>
                <w:rFonts w:ascii="Courier New" w:hAnsi="Courier New"/>
                <w:sz w:val="17"/>
              </w:rPr>
              <w:t>uvicorn==0.40.0</w:t>
            </w:r>
          </w:p>
        </w:tc>
        <w:tc>
          <w:tcPr>
            <w:tcW w:type="dxa" w:w="4419"/>
          </w:tcPr>
          <w:p>
            <w:r>
              <w:rPr>
                <w:sz w:val="18"/>
              </w:rPr>
              <w:t>Serveur ASGI</w:t>
            </w:r>
          </w:p>
        </w:tc>
      </w:tr>
      <w:tr>
        <w:tc>
          <w:tcPr>
            <w:tcW w:type="dxa" w:w="4419"/>
            <w:shd w:val="clear" w:color="auto" w:fill="EFF4FB"/>
          </w:tcPr>
          <w:p>
            <w:r>
              <w:rPr>
                <w:rFonts w:ascii="Courier New" w:hAnsi="Courier New"/>
                <w:sz w:val="17"/>
              </w:rPr>
              <w:t>yfinance==1.1.0</w:t>
            </w:r>
          </w:p>
        </w:tc>
        <w:tc>
          <w:tcPr>
            <w:tcW w:type="dxa" w:w="4419"/>
            <w:shd w:val="clear" w:color="auto" w:fill="EFF4FB"/>
          </w:tcPr>
          <w:p>
            <w:r>
              <w:rPr>
                <w:sz w:val="18"/>
              </w:rPr>
              <w:t>Données financières (Yahoo Finance)</w:t>
            </w:r>
          </w:p>
        </w:tc>
      </w:tr>
      <w:tr>
        <w:tc>
          <w:tcPr>
            <w:tcW w:type="dxa" w:w="4419"/>
          </w:tcPr>
          <w:p>
            <w:r>
              <w:rPr>
                <w:rFonts w:ascii="Courier New" w:hAnsi="Courier New"/>
                <w:sz w:val="17"/>
              </w:rPr>
              <w:t>pandas==3.0.0</w:t>
            </w:r>
          </w:p>
        </w:tc>
        <w:tc>
          <w:tcPr>
            <w:tcW w:type="dxa" w:w="4419"/>
          </w:tcPr>
          <w:p>
            <w:r>
              <w:rPr>
                <w:sz w:val="18"/>
              </w:rPr>
              <w:t>Manipulation de données</w:t>
            </w:r>
          </w:p>
        </w:tc>
      </w:tr>
      <w:tr>
        <w:tc>
          <w:tcPr>
            <w:tcW w:type="dxa" w:w="4419"/>
            <w:shd w:val="clear" w:color="auto" w:fill="EFF4FB"/>
          </w:tcPr>
          <w:p>
            <w:r>
              <w:rPr>
                <w:rFonts w:ascii="Courier New" w:hAnsi="Courier New"/>
                <w:sz w:val="17"/>
              </w:rPr>
              <w:t>numpy==2.4.2</w:t>
            </w:r>
          </w:p>
        </w:tc>
        <w:tc>
          <w:tcPr>
            <w:tcW w:type="dxa" w:w="4419"/>
            <w:shd w:val="clear" w:color="auto" w:fill="EFF4FB"/>
          </w:tcPr>
          <w:p>
            <w:r>
              <w:rPr>
                <w:sz w:val="18"/>
              </w:rPr>
              <w:t>Calculs matriciels</w:t>
            </w:r>
          </w:p>
        </w:tc>
      </w:tr>
      <w:tr>
        <w:tc>
          <w:tcPr>
            <w:tcW w:type="dxa" w:w="4419"/>
          </w:tcPr>
          <w:p>
            <w:r>
              <w:rPr>
                <w:rFonts w:ascii="Courier New" w:hAnsi="Courier New"/>
                <w:sz w:val="17"/>
              </w:rPr>
              <w:t>pydantic==2.12.5</w:t>
            </w:r>
          </w:p>
        </w:tc>
        <w:tc>
          <w:tcPr>
            <w:tcW w:type="dxa" w:w="4419"/>
          </w:tcPr>
          <w:p>
            <w:r>
              <w:rPr>
                <w:sz w:val="18"/>
              </w:rPr>
              <w:t>Validation des données</w:t>
            </w:r>
          </w:p>
        </w:tc>
      </w:tr>
      <w:tr>
        <w:tc>
          <w:tcPr>
            <w:tcW w:type="dxa" w:w="4419"/>
            <w:shd w:val="clear" w:color="auto" w:fill="EFF4FB"/>
          </w:tcPr>
          <w:p>
            <w:r>
              <w:rPr>
                <w:rFonts w:ascii="Courier New" w:hAnsi="Courier New"/>
                <w:sz w:val="17"/>
              </w:rPr>
              <w:t>sqlalchemy==2.0.46</w:t>
            </w:r>
          </w:p>
        </w:tc>
        <w:tc>
          <w:tcPr>
            <w:tcW w:type="dxa" w:w="4419"/>
            <w:shd w:val="clear" w:color="auto" w:fill="EFF4FB"/>
          </w:tcPr>
          <w:p>
            <w:r>
              <w:rPr>
                <w:sz w:val="18"/>
              </w:rPr>
              <w:t>ORM base de données</w:t>
            </w:r>
          </w:p>
        </w:tc>
      </w:tr>
      <w:tr>
        <w:tc>
          <w:tcPr>
            <w:tcW w:type="dxa" w:w="4419"/>
          </w:tcPr>
          <w:p>
            <w:r>
              <w:rPr>
                <w:rFonts w:ascii="Courier New" w:hAnsi="Courier New"/>
                <w:sz w:val="17"/>
              </w:rPr>
              <w:t>python-multipart==0.0.22</w:t>
            </w:r>
          </w:p>
        </w:tc>
        <w:tc>
          <w:tcPr>
            <w:tcW w:type="dxa" w:w="4419"/>
          </w:tcPr>
          <w:p>
            <w:r>
              <w:rPr>
                <w:sz w:val="18"/>
              </w:rPr>
              <w:t>Formulaires HTTP</w:t>
            </w:r>
          </w:p>
        </w:tc>
      </w:tr>
      <w:tr>
        <w:tc>
          <w:tcPr>
            <w:tcW w:type="dxa" w:w="4419"/>
            <w:shd w:val="clear" w:color="auto" w:fill="EFF4FB"/>
          </w:tcPr>
          <w:p>
            <w:r>
              <w:rPr>
                <w:rFonts w:ascii="Courier New" w:hAnsi="Courier New"/>
                <w:sz w:val="17"/>
              </w:rPr>
              <w:t>python-jose==3.5.0</w:t>
            </w:r>
          </w:p>
        </w:tc>
        <w:tc>
          <w:tcPr>
            <w:tcW w:type="dxa" w:w="4419"/>
            <w:shd w:val="clear" w:color="auto" w:fill="EFF4FB"/>
          </w:tcPr>
          <w:p>
            <w:r>
              <w:rPr>
                <w:sz w:val="18"/>
              </w:rPr>
              <w:t>Tokens JWT</w:t>
            </w:r>
          </w:p>
        </w:tc>
      </w:tr>
      <w:tr>
        <w:tc>
          <w:tcPr>
            <w:tcW w:type="dxa" w:w="4419"/>
          </w:tcPr>
          <w:p>
            <w:r>
              <w:rPr>
                <w:rFonts w:ascii="Courier New" w:hAnsi="Courier New"/>
                <w:sz w:val="17"/>
              </w:rPr>
              <w:t>passlib==1.7.4</w:t>
            </w:r>
          </w:p>
        </w:tc>
        <w:tc>
          <w:tcPr>
            <w:tcW w:type="dxa" w:w="4419"/>
          </w:tcPr>
          <w:p>
            <w:r>
              <w:rPr>
                <w:sz w:val="18"/>
              </w:rPr>
              <w:t>Hachage des mots de passe</w:t>
            </w:r>
          </w:p>
        </w:tc>
      </w:tr>
      <w:tr>
        <w:tc>
          <w:tcPr>
            <w:tcW w:type="dxa" w:w="4419"/>
            <w:shd w:val="clear" w:color="auto" w:fill="EFF4FB"/>
          </w:tcPr>
          <w:p>
            <w:r>
              <w:rPr>
                <w:rFonts w:ascii="Courier New" w:hAnsi="Courier New"/>
                <w:sz w:val="17"/>
              </w:rPr>
              <w:t>bcrypt==4.2.1</w:t>
            </w:r>
          </w:p>
        </w:tc>
        <w:tc>
          <w:tcPr>
            <w:tcW w:type="dxa" w:w="4419"/>
            <w:shd w:val="clear" w:color="auto" w:fill="EFF4FB"/>
          </w:tcPr>
          <w:p>
            <w:r>
              <w:rPr>
                <w:sz w:val="18"/>
              </w:rPr>
              <w:t>Chiffrement</w:t>
            </w:r>
          </w:p>
        </w:tc>
      </w:tr>
      <w:tr>
        <w:tc>
          <w:tcPr>
            <w:tcW w:type="dxa" w:w="4419"/>
          </w:tcPr>
          <w:p>
            <w:r>
              <w:rPr>
                <w:rFonts w:ascii="Courier New" w:hAnsi="Courier New"/>
                <w:sz w:val="17"/>
              </w:rPr>
              <w:t>python-dotenv==1.2.1</w:t>
            </w:r>
          </w:p>
        </w:tc>
        <w:tc>
          <w:tcPr>
            <w:tcW w:type="dxa" w:w="4419"/>
          </w:tcPr>
          <w:p>
            <w:r>
              <w:rPr>
                <w:sz w:val="18"/>
              </w:rPr>
              <w:t>Variables d'environnement</w:t>
            </w:r>
          </w:p>
        </w:tc>
      </w:tr>
      <w:tr>
        <w:tc>
          <w:tcPr>
            <w:tcW w:type="dxa" w:w="4419"/>
            <w:shd w:val="clear" w:color="auto" w:fill="EFF4FB"/>
          </w:tcPr>
          <w:p>
            <w:r>
              <w:rPr>
                <w:rFonts w:ascii="Courier New" w:hAnsi="Courier New"/>
                <w:sz w:val="17"/>
              </w:rPr>
              <w:t>requests==2.32.5</w:t>
            </w:r>
          </w:p>
        </w:tc>
        <w:tc>
          <w:tcPr>
            <w:tcW w:type="dxa" w:w="4419"/>
            <w:shd w:val="clear" w:color="auto" w:fill="EFF4FB"/>
          </w:tcPr>
          <w:p>
            <w:r>
              <w:rPr>
                <w:sz w:val="18"/>
              </w:rPr>
              <w:t>Appels HTTP</w:t>
            </w:r>
          </w:p>
        </w:tc>
      </w:tr>
      <w:tr>
        <w:tc>
          <w:tcPr>
            <w:tcW w:type="dxa" w:w="4419"/>
          </w:tcPr>
          <w:p>
            <w:r>
              <w:rPr>
                <w:rFonts w:ascii="Courier New" w:hAnsi="Courier New"/>
                <w:sz w:val="17"/>
              </w:rPr>
              <w:t>jinja2==3.1.6</w:t>
            </w:r>
          </w:p>
        </w:tc>
        <w:tc>
          <w:tcPr>
            <w:tcW w:type="dxa" w:w="4419"/>
          </w:tcPr>
          <w:p>
            <w:r>
              <w:rPr>
                <w:sz w:val="18"/>
              </w:rPr>
              <w:t>Moteur de templates</w:t>
            </w:r>
          </w:p>
        </w:tc>
      </w:tr>
      <w:tr>
        <w:tc>
          <w:tcPr>
            <w:tcW w:type="dxa" w:w="4419"/>
            <w:shd w:val="clear" w:color="auto" w:fill="EFF4FB"/>
          </w:tcPr>
          <w:p>
            <w:r>
              <w:rPr>
                <w:rFonts w:ascii="Courier New" w:hAnsi="Courier New"/>
                <w:sz w:val="17"/>
              </w:rPr>
              <w:t>pyportfolioopt==1.5.6</w:t>
            </w:r>
          </w:p>
        </w:tc>
        <w:tc>
          <w:tcPr>
            <w:tcW w:type="dxa" w:w="4419"/>
            <w:shd w:val="clear" w:color="auto" w:fill="EFF4FB"/>
          </w:tcPr>
          <w:p>
            <w:r>
              <w:rPr>
                <w:sz w:val="18"/>
              </w:rPr>
              <w:t>Optimisation Markowitz</w:t>
            </w:r>
          </w:p>
        </w:tc>
      </w:tr>
      <w:tr>
        <w:tc>
          <w:tcPr>
            <w:tcW w:type="dxa" w:w="4419"/>
          </w:tcPr>
          <w:p>
            <w:r>
              <w:rPr>
                <w:rFonts w:ascii="Courier New" w:hAnsi="Courier New"/>
                <w:sz w:val="17"/>
              </w:rPr>
              <w:t>scikit-learn==1.8.0</w:t>
            </w:r>
          </w:p>
        </w:tc>
        <w:tc>
          <w:tcPr>
            <w:tcW w:type="dxa" w:w="4419"/>
          </w:tcPr>
          <w:p>
            <w:r>
              <w:rPr>
                <w:sz w:val="18"/>
              </w:rPr>
              <w:t>Machine Learning (classification profils)</w:t>
            </w:r>
          </w:p>
        </w:tc>
      </w:tr>
      <w:tr>
        <w:tc>
          <w:tcPr>
            <w:tcW w:type="dxa" w:w="4419"/>
            <w:shd w:val="clear" w:color="auto" w:fill="EFF4FB"/>
          </w:tcPr>
          <w:p>
            <w:r>
              <w:rPr>
                <w:rFonts w:ascii="Courier New" w:hAnsi="Courier New"/>
                <w:sz w:val="17"/>
              </w:rPr>
              <w:t>scipy==1.17.0</w:t>
            </w:r>
          </w:p>
        </w:tc>
        <w:tc>
          <w:tcPr>
            <w:tcW w:type="dxa" w:w="4419"/>
            <w:shd w:val="clear" w:color="auto" w:fill="EFF4FB"/>
          </w:tcPr>
          <w:p>
            <w:r>
              <w:rPr>
                <w:sz w:val="18"/>
              </w:rPr>
              <w:t>Solveur mathématique</w:t>
            </w:r>
          </w:p>
        </w:tc>
      </w:tr>
      <w:tr>
        <w:tc>
          <w:tcPr>
            <w:tcW w:type="dxa" w:w="4419"/>
          </w:tcPr>
          <w:p>
            <w:r>
              <w:rPr>
                <w:rFonts w:ascii="Courier New" w:hAnsi="Courier New"/>
                <w:sz w:val="17"/>
              </w:rPr>
              <w:t>joblib==1.5.3</w:t>
            </w:r>
          </w:p>
        </w:tc>
        <w:tc>
          <w:tcPr>
            <w:tcW w:type="dxa" w:w="4419"/>
          </w:tcPr>
          <w:p>
            <w:r>
              <w:rPr>
                <w:sz w:val="18"/>
              </w:rPr>
              <w:t>Parallélisation</w:t>
            </w:r>
          </w:p>
        </w:tc>
      </w:tr>
      <w:tr>
        <w:tc>
          <w:tcPr>
            <w:tcW w:type="dxa" w:w="4419"/>
            <w:shd w:val="clear" w:color="auto" w:fill="EFF4FB"/>
          </w:tcPr>
          <w:p>
            <w:r>
              <w:rPr>
                <w:rFonts w:ascii="Courier New" w:hAnsi="Courier New"/>
                <w:sz w:val="17"/>
              </w:rPr>
              <w:t>plotly==5.24.1</w:t>
            </w:r>
          </w:p>
        </w:tc>
        <w:tc>
          <w:tcPr>
            <w:tcW w:type="dxa" w:w="4419"/>
            <w:shd w:val="clear" w:color="auto" w:fill="EFF4FB"/>
          </w:tcPr>
          <w:p>
            <w:r>
              <w:rPr>
                <w:sz w:val="18"/>
              </w:rPr>
              <w:t>Visualisation interactive</w:t>
            </w:r>
          </w:p>
        </w:tc>
      </w:tr>
      <w:tr>
        <w:tc>
          <w:tcPr>
            <w:tcW w:type="dxa" w:w="4419"/>
          </w:tcPr>
          <w:p>
            <w:r>
              <w:rPr>
                <w:rFonts w:ascii="Courier New" w:hAnsi="Courier New"/>
                <w:sz w:val="17"/>
              </w:rPr>
              <w:t>tenacity==9.1.4</w:t>
            </w:r>
          </w:p>
        </w:tc>
        <w:tc>
          <w:tcPr>
            <w:tcW w:type="dxa" w:w="4419"/>
          </w:tcPr>
          <w:p>
            <w:r>
              <w:rPr>
                <w:sz w:val="18"/>
              </w:rPr>
              <w:t>Retry automatique (résilience yfinance)</w:t>
            </w:r>
          </w:p>
        </w:tc>
      </w:tr>
      <w:tr>
        <w:tc>
          <w:tcPr>
            <w:tcW w:type="dxa" w:w="4419"/>
            <w:shd w:val="clear" w:color="auto" w:fill="EFF4FB"/>
          </w:tcPr>
          <w:p>
            <w:r>
              <w:rPr>
                <w:rFonts w:ascii="Courier New" w:hAnsi="Courier New"/>
                <w:sz w:val="17"/>
              </w:rPr>
              <w:t>email-validator==2.3.0</w:t>
            </w:r>
          </w:p>
        </w:tc>
        <w:tc>
          <w:tcPr>
            <w:tcW w:type="dxa" w:w="4419"/>
            <w:shd w:val="clear" w:color="auto" w:fill="EFF4FB"/>
          </w:tcPr>
          <w:p>
            <w:r>
              <w:rPr>
                <w:sz w:val="18"/>
              </w:rPr>
              <w:t>Validation emails</w:t>
            </w:r>
          </w:p>
        </w:tc>
      </w:tr>
      <w:tr>
        <w:tc>
          <w:tcPr>
            <w:tcW w:type="dxa" w:w="4419"/>
          </w:tcPr>
          <w:p>
            <w:r>
              <w:rPr>
                <w:rFonts w:ascii="Courier New" w:hAnsi="Courier New"/>
                <w:sz w:val="17"/>
              </w:rPr>
              <w:t>h11==0.16.0</w:t>
            </w:r>
          </w:p>
        </w:tc>
        <w:tc>
          <w:tcPr>
            <w:tcW w:type="dxa" w:w="4419"/>
          </w:tcPr>
          <w:p>
            <w:r>
              <w:rPr>
                <w:sz w:val="18"/>
              </w:rPr>
              <w:t>Protocole HTTP/1.1</w:t>
            </w:r>
          </w:p>
        </w:tc>
      </w:tr>
      <w:tr>
        <w:tc>
          <w:tcPr>
            <w:tcW w:type="dxa" w:w="4419"/>
            <w:shd w:val="clear" w:color="auto" w:fill="EFF4FB"/>
          </w:tcPr>
          <w:p>
            <w:r>
              <w:rPr>
                <w:rFonts w:ascii="Courier New" w:hAnsi="Courier New"/>
                <w:sz w:val="17"/>
              </w:rPr>
              <w:t>httpx==0.28.1</w:t>
            </w:r>
          </w:p>
        </w:tc>
        <w:tc>
          <w:tcPr>
            <w:tcW w:type="dxa" w:w="4419"/>
            <w:shd w:val="clear" w:color="auto" w:fill="EFF4FB"/>
          </w:tcPr>
          <w:p>
            <w:r>
              <w:rPr>
                <w:sz w:val="18"/>
              </w:rPr>
              <w:t>Client HTTP async (tests)</w:t>
            </w:r>
          </w:p>
        </w:tc>
      </w:tr>
      <w:tr>
        <w:tc>
          <w:tcPr>
            <w:tcW w:type="dxa" w:w="4419"/>
          </w:tcPr>
          <w:p>
            <w:r>
              <w:rPr>
                <w:rFonts w:ascii="Courier New" w:hAnsi="Courier New"/>
                <w:sz w:val="17"/>
              </w:rPr>
              <w:t>cvxpy==1.8.1</w:t>
            </w:r>
          </w:p>
        </w:tc>
        <w:tc>
          <w:tcPr>
            <w:tcW w:type="dxa" w:w="4419"/>
          </w:tcPr>
          <w:p>
            <w:r>
              <w:rPr>
                <w:sz w:val="18"/>
              </w:rPr>
              <w:t>Solveur d'optimisation convexe</w:t>
            </w:r>
          </w:p>
        </w:tc>
      </w:tr>
      <w:tr>
        <w:tc>
          <w:tcPr>
            <w:tcW w:type="dxa" w:w="4419"/>
            <w:shd w:val="clear" w:color="auto" w:fill="EFF4FB"/>
          </w:tcPr>
          <w:p>
            <w:r>
              <w:rPr>
                <w:rFonts w:ascii="Courier New" w:hAnsi="Courier New"/>
                <w:sz w:val="17"/>
              </w:rPr>
              <w:t>osqp==1.1.1</w:t>
            </w:r>
          </w:p>
        </w:tc>
        <w:tc>
          <w:tcPr>
            <w:tcW w:type="dxa" w:w="4419"/>
            <w:shd w:val="clear" w:color="auto" w:fill="EFF4FB"/>
          </w:tcPr>
          <w:p>
            <w:r>
              <w:rPr>
                <w:sz w:val="18"/>
              </w:rPr>
              <w:t>Solveur OSQP (via CVXPY)</w:t>
            </w:r>
          </w:p>
        </w:tc>
      </w:tr>
      <w:tr>
        <w:tc>
          <w:tcPr>
            <w:tcW w:type="dxa" w:w="4419"/>
          </w:tcPr>
          <w:p>
            <w:r>
              <w:rPr>
                <w:rFonts w:ascii="Courier New" w:hAnsi="Courier New"/>
                <w:sz w:val="17"/>
              </w:rPr>
              <w:t>scs==3.2.11</w:t>
            </w:r>
          </w:p>
        </w:tc>
        <w:tc>
          <w:tcPr>
            <w:tcW w:type="dxa" w:w="4419"/>
          </w:tcPr>
          <w:p>
            <w:r>
              <w:rPr>
                <w:sz w:val="18"/>
              </w:rPr>
              <w:t>Solveur SCS (via CVXPY)</w:t>
            </w:r>
          </w:p>
        </w:tc>
      </w:tr>
      <w:tr>
        <w:tc>
          <w:tcPr>
            <w:tcW w:type="dxa" w:w="4419"/>
            <w:shd w:val="clear" w:color="auto" w:fill="EFF4FB"/>
          </w:tcPr>
          <w:p>
            <w:r>
              <w:rPr>
                <w:rFonts w:ascii="Courier New" w:hAnsi="Courier New"/>
                <w:sz w:val="17"/>
              </w:rPr>
              <w:t>ecos==2.0.14</w:t>
            </w:r>
          </w:p>
        </w:tc>
        <w:tc>
          <w:tcPr>
            <w:tcW w:type="dxa" w:w="4419"/>
            <w:shd w:val="clear" w:color="auto" w:fill="EFF4FB"/>
          </w:tcPr>
          <w:p>
            <w:r>
              <w:rPr>
                <w:sz w:val="18"/>
              </w:rPr>
              <w:t>Solveur ECOS (via CVXPY)</w:t>
            </w:r>
          </w:p>
        </w:tc>
      </w:tr>
      <w:tr>
        <w:tc>
          <w:tcPr>
            <w:tcW w:type="dxa" w:w="4419"/>
          </w:tcPr>
          <w:p>
            <w:r>
              <w:rPr>
                <w:rFonts w:ascii="Courier New" w:hAnsi="Courier New"/>
                <w:sz w:val="17"/>
              </w:rPr>
              <w:t>watchfiles==1.1.1</w:t>
            </w:r>
          </w:p>
        </w:tc>
        <w:tc>
          <w:tcPr>
            <w:tcW w:type="dxa" w:w="4419"/>
          </w:tcPr>
          <w:p>
            <w:r>
              <w:rPr>
                <w:sz w:val="18"/>
              </w:rPr>
              <w:t>Rechargement à chaud (dev)</w:t>
            </w:r>
          </w:p>
        </w:tc>
      </w:tr>
      <w:tr>
        <w:tc>
          <w:tcPr>
            <w:tcW w:type="dxa" w:w="4419"/>
            <w:shd w:val="clear" w:color="auto" w:fill="EFF4FB"/>
          </w:tcPr>
          <w:p>
            <w:r>
              <w:rPr>
                <w:rFonts w:ascii="Courier New" w:hAnsi="Courier New"/>
                <w:sz w:val="17"/>
              </w:rPr>
              <w:t>websockets==16.0</w:t>
            </w:r>
          </w:p>
        </w:tc>
        <w:tc>
          <w:tcPr>
            <w:tcW w:type="dxa" w:w="4419"/>
            <w:shd w:val="clear" w:color="auto" w:fill="EFF4FB"/>
          </w:tcPr>
          <w:p>
            <w:r>
              <w:rPr>
                <w:sz w:val="18"/>
              </w:rPr>
              <w:t>WebSockets</w:t>
            </w:r>
          </w:p>
        </w:tc>
      </w:tr>
    </w:tbl>
    <w:p/>
    <w:p>
      <w:r>
        <w:br w:type="page"/>
      </w:r>
    </w:p>
    <w:p>
      <w:pPr>
        <w:jc w:val="center"/>
      </w:pPr>
      <w:r>
        <w:rPr>
          <w:i/>
          <w:color w:val="999999"/>
          <w:sz w:val="20"/>
        </w:rPr>
        <w:t>— Fin de l'étude de faisabilité — Mars 2026 —</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