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Calendar</w:t>
      </w:r>
    </w:p>
    <w:p>
      <w:r>
        <w:t>The calendar lists important student deadlines.</w:t>
      </w:r>
    </w:p>
    <w:p>
      <w:pPr>
        <w:pStyle w:val="Heading2"/>
      </w:pPr>
      <w:r>
        <w:t>Registration</w:t>
      </w:r>
    </w:p>
    <w:p>
      <w:pPr>
        <w:pStyle w:val="ListBullet"/>
      </w:pPr>
      <w:r>
        <w:t>Review course availability.</w:t>
      </w:r>
    </w:p>
    <w:p>
      <w:pPr>
        <w:pStyle w:val="ListNumber"/>
      </w:pPr>
      <w:r>
        <w:t>Submit registration before the deadline.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Deadline</w:t>
            </w:r>
          </w:p>
        </w:tc>
      </w:tr>
      <w:tr>
        <w:tc>
          <w:tcPr>
            <w:tcW w:type="dxa" w:w="4320"/>
          </w:tcPr>
          <w:p>
            <w:r>
              <w:t>Fall</w:t>
            </w:r>
          </w:p>
        </w:tc>
        <w:tc>
          <w:tcPr>
            <w:tcW w:type="dxa" w:w="4320"/>
          </w:tcPr>
          <w:p>
            <w:r>
              <w:t>August 20</w:t>
            </w:r>
          </w:p>
        </w:tc>
      </w:tr>
    </w:tbl>
    <w:p>
      <w:pPr>
        <w:pStyle w:val="Sidebar"/>
      </w:pPr>
      <w:r>
        <w:t>Contact the Registrar.</w:t>
      </w:r>
    </w:p>
    <w:p>
      <w:pPr>
        <w:pStyle w:val="Callout"/>
      </w:pPr>
      <w:r>
        <w:t>Important: Deadlines are subject to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debar">
    <w:name w:val="Sidebar"/>
  </w:style>
  <w:style w:type="paragraph" w:customStyle="1" w:styleId="Callout">
    <w:name w:val="Callou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