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5"/>
        <w:tblW w:w="10620" w:type="dxa"/>
        <w:tblInd w:w="-1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60"/>
        <w:gridCol w:w="8820"/>
        <w:gridCol w:w="360"/>
      </w:tblGrid>
      <w:tr w14:paraId="296B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66" w:hRule="atLeast"/>
        </w:trPr>
        <w:tc>
          <w:tcPr>
            <w:tcW w:w="1440" w:type="dxa"/>
            <w:gridSpan w:val="2"/>
            <w:tcBorders>
              <w:top w:val="nil"/>
              <w:left w:val="nil"/>
              <w:bottom w:val="nil"/>
            </w:tcBorders>
            <w:noWrap w:val="0"/>
            <w:textDirection w:val="btLr"/>
            <w:vAlign w:val="top"/>
          </w:tcPr>
          <w:p w14:paraId="15DB5DBA">
            <w:pPr>
              <w:ind w:left="1785" w:hanging="1785" w:hangingChars="850"/>
              <w:jc w:val="center"/>
              <w:rPr>
                <w:rFonts w:hint="default" w:ascii="Times New Roman" w:hAnsi="Times New Roman" w:eastAsia="宋体" w:cs="Times New Roman"/>
              </w:rPr>
            </w:pPr>
            <w:r>
              <w:rPr>
                <w:rFonts w:hint="default" w:ascii="Times New Roman" w:hAnsi="Times New Roman" w:eastAsia="宋体" w:cs="Times New Roman"/>
              </w:rPr>
              <w:t>-----------------------------------图钉----------装--------------------------------- ---------  订 -----------------------------------------线---------------------图钉------------------- -</w:t>
            </w:r>
          </w:p>
          <w:p w14:paraId="57BD1A51">
            <w:pPr>
              <w:ind w:left="113" w:leftChars="54" w:firstLine="735" w:firstLineChars="350"/>
              <w:rPr>
                <w:rFonts w:hint="default" w:ascii="Times New Roman" w:hAnsi="Times New Roman" w:eastAsia="宋体" w:cs="Times New Roman"/>
              </w:rPr>
            </w:pPr>
          </w:p>
          <w:p w14:paraId="56F39C08">
            <w:pPr>
              <w:ind w:left="113" w:leftChars="54" w:firstLine="2625" w:firstLineChars="1250"/>
              <w:rPr>
                <w:rFonts w:hint="default" w:ascii="Times New Roman" w:hAnsi="Times New Roman" w:eastAsia="宋体" w:cs="Times New Roman"/>
              </w:rPr>
            </w:pPr>
            <w:r>
              <w:rPr>
                <w:rFonts w:hint="default" w:ascii="Times New Roman" w:hAnsi="Times New Roman" w:eastAsia="宋体" w:cs="Times New Roman"/>
              </w:rPr>
              <w:t>班级</w:t>
            </w:r>
            <w:r>
              <w:rPr>
                <w:rFonts w:hint="default" w:ascii="Times New Roman" w:hAnsi="Times New Roman" w:eastAsia="宋体" w:cs="Times New Roman"/>
                <w:szCs w:val="21"/>
                <w:u w:val="single"/>
              </w:rPr>
              <w:t xml:space="preserve">    </w:t>
            </w:r>
            <w:r>
              <w:rPr>
                <w:rFonts w:hint="eastAsia" w:cs="Times New Roman"/>
                <w:szCs w:val="21"/>
                <w:u w:val="single"/>
                <w:lang w:val="en-US" w:eastAsia="zh-CN"/>
              </w:rPr>
              <w:t>23计科1班</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 xml:space="preserve">   姓名</w:t>
            </w:r>
            <w:r>
              <w:rPr>
                <w:rFonts w:hint="default" w:ascii="Times New Roman" w:hAnsi="Times New Roman" w:eastAsia="宋体" w:cs="Times New Roman"/>
                <w:szCs w:val="21"/>
                <w:u w:val="single"/>
              </w:rPr>
              <w:t xml:space="preserve">    </w:t>
            </w:r>
            <w:r>
              <w:rPr>
                <w:rFonts w:hint="eastAsia" w:cs="Times New Roman"/>
                <w:szCs w:val="21"/>
                <w:u w:val="single"/>
                <w:lang w:val="en-US" w:eastAsia="zh-CN"/>
              </w:rPr>
              <w:t>廖朝正</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 xml:space="preserve">   序号</w:t>
            </w:r>
            <w:r>
              <w:rPr>
                <w:rFonts w:hint="default" w:ascii="Times New Roman" w:hAnsi="Times New Roman" w:eastAsia="宋体" w:cs="Times New Roman"/>
                <w:szCs w:val="21"/>
                <w:u w:val="single"/>
              </w:rPr>
              <w:t xml:space="preserve">     </w:t>
            </w:r>
            <w:r>
              <w:rPr>
                <w:rFonts w:hint="eastAsia" w:cs="Times New Roman"/>
                <w:szCs w:val="21"/>
                <w:u w:val="single"/>
                <w:lang w:val="en-US" w:eastAsia="zh-CN"/>
              </w:rPr>
              <w:t>45</w:t>
            </w:r>
            <w:r>
              <w:rPr>
                <w:rFonts w:hint="default" w:ascii="Times New Roman" w:hAnsi="Times New Roman" w:eastAsia="宋体" w:cs="Times New Roman"/>
                <w:szCs w:val="21"/>
                <w:u w:val="single"/>
              </w:rPr>
              <w:t xml:space="preserve">      </w:t>
            </w:r>
          </w:p>
          <w:p w14:paraId="1FF6FEFF">
            <w:pPr>
              <w:ind w:left="1373" w:leftChars="54" w:right="113" w:hanging="1260" w:hangingChars="600"/>
              <w:rPr>
                <w:rFonts w:hint="default" w:ascii="Times New Roman" w:hAnsi="Times New Roman" w:eastAsia="宋体" w:cs="Times New Roman"/>
              </w:rPr>
            </w:pPr>
            <w:r>
              <w:rPr>
                <w:rFonts w:hint="default" w:ascii="Times New Roman" w:hAnsi="Times New Roman" w:eastAsia="宋体" w:cs="Times New Roman"/>
              </w:rPr>
              <w:t xml:space="preserve">                                                                                                               </w:t>
            </w:r>
          </w:p>
        </w:tc>
        <w:tc>
          <w:tcPr>
            <w:tcW w:w="9180" w:type="dxa"/>
            <w:gridSpan w:val="2"/>
            <w:noWrap w:val="0"/>
            <w:vAlign w:val="top"/>
          </w:tcPr>
          <w:p w14:paraId="60B2E435">
            <w:pPr>
              <w:spacing w:line="360" w:lineRule="auto"/>
              <w:jc w:val="center"/>
              <w:rPr>
                <w:rFonts w:hint="default" w:ascii="Times New Roman" w:hAnsi="Times New Roman" w:eastAsia="宋体" w:cs="Times New Roman"/>
                <w:b/>
                <w:sz w:val="32"/>
                <w:szCs w:val="32"/>
              </w:rPr>
            </w:pPr>
            <w:r>
              <w:rPr>
                <w:rFonts w:hint="default" w:ascii="Times New Roman" w:hAnsi="Times New Roman" w:eastAsia="宋体" w:cs="Times New Roman"/>
                <w:b/>
                <w:sz w:val="32"/>
                <w:szCs w:val="32"/>
              </w:rPr>
              <w:t>广 东 财 经 大 学 课 程 设 计 期 末 考 核</w:t>
            </w:r>
          </w:p>
          <w:p w14:paraId="6260B77B">
            <w:pPr>
              <w:ind w:firstLine="130" w:firstLineChars="100"/>
              <w:rPr>
                <w:rFonts w:hint="default" w:ascii="Times New Roman" w:hAnsi="Times New Roman" w:eastAsia="宋体" w:cs="Times New Roman"/>
                <w:sz w:val="13"/>
                <w:szCs w:val="13"/>
              </w:rPr>
            </w:pPr>
          </w:p>
          <w:p w14:paraId="774E5389">
            <w:pPr>
              <w:ind w:firstLine="300" w:firstLineChars="100"/>
              <w:rPr>
                <w:rFonts w:hint="default" w:ascii="Times New Roman" w:hAnsi="Times New Roman" w:eastAsia="宋体" w:cs="Times New Roman"/>
                <w:i/>
                <w:sz w:val="30"/>
                <w:szCs w:val="30"/>
              </w:rPr>
            </w:pPr>
            <w:r>
              <w:rPr>
                <w:rFonts w:hint="default" w:ascii="Times New Roman" w:hAnsi="Times New Roman" w:eastAsia="宋体" w:cs="Times New Roman"/>
                <w:sz w:val="30"/>
                <w:szCs w:val="30"/>
              </w:rPr>
              <w:t xml:space="preserve">课程 </w:t>
            </w:r>
            <w:r>
              <w:rPr>
                <w:rFonts w:hint="default" w:ascii="Times New Roman" w:hAnsi="Times New Roman" w:eastAsia="宋体" w:cs="Times New Roman"/>
                <w:sz w:val="30"/>
                <w:szCs w:val="30"/>
                <w:u w:val="single"/>
              </w:rPr>
              <w:t xml:space="preserve">  智能系统课程设计 </w:t>
            </w:r>
            <w:r>
              <w:rPr>
                <w:rFonts w:hint="default" w:ascii="Times New Roman" w:hAnsi="Times New Roman" w:eastAsia="宋体" w:cs="Times New Roman"/>
                <w:i/>
                <w:sz w:val="30"/>
                <w:szCs w:val="30"/>
              </w:rPr>
              <w:t xml:space="preserve"> </w:t>
            </w:r>
            <w:r>
              <w:rPr>
                <w:rFonts w:hint="default" w:ascii="Times New Roman" w:hAnsi="Times New Roman" w:eastAsia="宋体" w:cs="Times New Roman"/>
                <w:sz w:val="30"/>
                <w:szCs w:val="30"/>
              </w:rPr>
              <w:t xml:space="preserve">   20</w:t>
            </w:r>
            <w:r>
              <w:rPr>
                <w:rFonts w:hint="default" w:ascii="Times New Roman" w:hAnsi="Times New Roman" w:eastAsia="宋体" w:cs="Times New Roman"/>
                <w:sz w:val="30"/>
                <w:szCs w:val="30"/>
                <w:u w:val="single"/>
              </w:rPr>
              <w:t>25</w:t>
            </w:r>
            <w:r>
              <w:rPr>
                <w:rFonts w:hint="default" w:ascii="Times New Roman" w:hAnsi="Times New Roman" w:eastAsia="宋体" w:cs="Times New Roman"/>
                <w:sz w:val="30"/>
                <w:szCs w:val="30"/>
              </w:rPr>
              <w:t>－ 20</w:t>
            </w:r>
            <w:r>
              <w:rPr>
                <w:rFonts w:hint="default" w:ascii="Times New Roman" w:hAnsi="Times New Roman" w:eastAsia="宋体" w:cs="Times New Roman"/>
                <w:sz w:val="30"/>
                <w:szCs w:val="30"/>
                <w:u w:val="single"/>
              </w:rPr>
              <w:t xml:space="preserve">26 </w:t>
            </w:r>
            <w:r>
              <w:rPr>
                <w:rFonts w:hint="default" w:ascii="Times New Roman" w:hAnsi="Times New Roman" w:eastAsia="宋体" w:cs="Times New Roman"/>
                <w:sz w:val="30"/>
                <w:szCs w:val="30"/>
              </w:rPr>
              <w:t>学年第</w:t>
            </w:r>
            <w:r>
              <w:rPr>
                <w:rFonts w:hint="default" w:ascii="Times New Roman" w:hAnsi="Times New Roman" w:eastAsia="宋体" w:cs="Times New Roman"/>
                <w:sz w:val="30"/>
                <w:szCs w:val="30"/>
                <w:u w:val="single"/>
              </w:rPr>
              <w:t xml:space="preserve"> 2 </w:t>
            </w:r>
            <w:r>
              <w:rPr>
                <w:rFonts w:hint="default" w:ascii="Times New Roman" w:hAnsi="Times New Roman" w:eastAsia="宋体" w:cs="Times New Roman"/>
                <w:sz w:val="30"/>
                <w:szCs w:val="30"/>
              </w:rPr>
              <w:t>学期</w:t>
            </w:r>
          </w:p>
          <w:p w14:paraId="6A2C654B">
            <w:pPr>
              <w:ind w:firstLine="300" w:firstLineChars="100"/>
              <w:rPr>
                <w:rFonts w:hint="default" w:ascii="Times New Roman" w:hAnsi="Times New Roman" w:eastAsia="宋体" w:cs="Times New Roman"/>
                <w:sz w:val="30"/>
                <w:szCs w:val="30"/>
              </w:rPr>
            </w:pPr>
            <w:r>
              <w:rPr>
                <w:rFonts w:hint="default" w:ascii="Times New Roman" w:hAnsi="Times New Roman" w:eastAsia="宋体" w:cs="Times New Roman"/>
                <w:sz w:val="30"/>
                <w:szCs w:val="30"/>
              </w:rPr>
              <w:t>成绩</w:t>
            </w:r>
            <w:r>
              <w:rPr>
                <w:rFonts w:hint="default" w:ascii="Times New Roman" w:hAnsi="Times New Roman" w:eastAsia="宋体" w:cs="Times New Roman"/>
                <w:sz w:val="30"/>
                <w:szCs w:val="30"/>
                <w:u w:val="single"/>
              </w:rPr>
              <w:t xml:space="preserve">                   </w:t>
            </w:r>
            <w:r>
              <w:rPr>
                <w:rFonts w:hint="default" w:ascii="Times New Roman" w:hAnsi="Times New Roman" w:eastAsia="宋体" w:cs="Times New Roman"/>
                <w:sz w:val="30"/>
                <w:szCs w:val="30"/>
              </w:rPr>
              <w:t xml:space="preserve">     评阅人</w:t>
            </w:r>
            <w:r>
              <w:rPr>
                <w:rFonts w:hint="default" w:ascii="Times New Roman" w:hAnsi="Times New Roman" w:eastAsia="宋体" w:cs="Times New Roman"/>
                <w:sz w:val="30"/>
                <w:szCs w:val="30"/>
                <w:u w:val="single"/>
              </w:rPr>
              <w:t xml:space="preserve">                     </w:t>
            </w:r>
            <w:r>
              <w:rPr>
                <w:rFonts w:hint="default" w:ascii="Times New Roman" w:hAnsi="Times New Roman" w:eastAsia="宋体" w:cs="Times New Roman"/>
                <w:sz w:val="30"/>
                <w:szCs w:val="30"/>
              </w:rPr>
              <w:t xml:space="preserve">  </w:t>
            </w:r>
          </w:p>
          <w:p w14:paraId="4EFFB266">
            <w:pPr>
              <w:ind w:firstLine="300" w:firstLineChars="100"/>
              <w:rPr>
                <w:rFonts w:hint="default" w:ascii="Times New Roman" w:hAnsi="Times New Roman" w:eastAsia="宋体" w:cs="Times New Roman"/>
              </w:rPr>
            </w:pPr>
            <w:r>
              <w:rPr>
                <w:rFonts w:hint="default" w:ascii="Times New Roman" w:hAnsi="Times New Roman" w:eastAsia="宋体" w:cs="Times New Roman"/>
                <w:sz w:val="30"/>
                <w:szCs w:val="30"/>
              </w:rPr>
              <w:t xml:space="preserve"> </w:t>
            </w:r>
          </w:p>
          <w:tbl>
            <w:tblPr>
              <w:tblStyle w:val="5"/>
              <w:tblW w:w="0" w:type="auto"/>
              <w:tblInd w:w="3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4"/>
            </w:tblGrid>
            <w:tr w14:paraId="18E2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6" w:hRule="atLeast"/>
              </w:trPr>
              <w:tc>
                <w:tcPr>
                  <w:tcW w:w="8144" w:type="dxa"/>
                  <w:noWrap w:val="0"/>
                  <w:vAlign w:val="top"/>
                </w:tcPr>
                <w:p w14:paraId="457AE825">
                  <w:pPr>
                    <w:snapToGrid w:val="0"/>
                    <w:spacing w:line="360" w:lineRule="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评价指标：</w:t>
                  </w:r>
                </w:p>
                <w:p w14:paraId="6232CC43">
                  <w:pPr>
                    <w:snapToGrid w:val="0"/>
                    <w:spacing w:line="360" w:lineRule="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（1）目的环境                       满分10分（       ）</w:t>
                  </w:r>
                </w:p>
                <w:p w14:paraId="499AED69">
                  <w:pPr>
                    <w:snapToGrid w:val="0"/>
                    <w:spacing w:line="360" w:lineRule="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（2）基本原理                       满分20分（       ）</w:t>
                  </w:r>
                </w:p>
                <w:p w14:paraId="002A60E5">
                  <w:pPr>
                    <w:snapToGrid w:val="0"/>
                    <w:spacing w:line="360" w:lineRule="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（3）步骤结果                       满分30分（       ）</w:t>
                  </w:r>
                </w:p>
                <w:p w14:paraId="4E36DD61">
                  <w:pPr>
                    <w:snapToGrid w:val="0"/>
                    <w:spacing w:line="360" w:lineRule="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（4）系统演示                       满分30分（       ）</w:t>
                  </w:r>
                </w:p>
                <w:p w14:paraId="1D45B8C9">
                  <w:pPr>
                    <w:snapToGrid w:val="0"/>
                    <w:spacing w:line="360" w:lineRule="auto"/>
                    <w:rPr>
                      <w:rFonts w:hint="default" w:ascii="Times New Roman" w:hAnsi="Times New Roman" w:eastAsia="宋体" w:cs="Times New Roman"/>
                      <w:sz w:val="30"/>
                      <w:szCs w:val="30"/>
                    </w:rPr>
                  </w:pPr>
                  <w:r>
                    <w:rPr>
                      <w:rFonts w:hint="default" w:ascii="Times New Roman" w:hAnsi="Times New Roman" w:eastAsia="宋体" w:cs="Times New Roman"/>
                      <w:sz w:val="28"/>
                      <w:szCs w:val="28"/>
                    </w:rPr>
                    <w:t>（5）总结分析                       满分10分（       ）</w:t>
                  </w:r>
                </w:p>
              </w:tc>
            </w:tr>
          </w:tbl>
          <w:p w14:paraId="1CF325A3">
            <w:pPr>
              <w:rPr>
                <w:rFonts w:hint="default" w:ascii="Times New Roman" w:hAnsi="Times New Roman" w:eastAsia="宋体" w:cs="Times New Roman"/>
              </w:rPr>
            </w:pPr>
            <w:r>
              <w:rPr>
                <w:rFonts w:hint="default" w:ascii="Times New Roman" w:hAnsi="Times New Roman" w:eastAsia="宋体" w:cs="Times New Roman"/>
              </w:rPr>
              <w:t>＝＝＝＝＝＝＝＝＝＝＝＝＝＝＝＝＝＝＝＝＝＝＝＝＝＝＝＝＝＝＝＝＝＝＝＝＝＝＝＝＝＝</w:t>
            </w:r>
          </w:p>
          <w:p w14:paraId="43B17ED6">
            <w:pPr>
              <w:rPr>
                <w:rFonts w:hint="default" w:ascii="Times New Roman" w:hAnsi="Times New Roman" w:eastAsia="宋体" w:cs="Times New Roman"/>
                <w:sz w:val="24"/>
              </w:rPr>
            </w:pPr>
            <w:r>
              <w:rPr>
                <w:rFonts w:hint="default" w:ascii="Times New Roman" w:hAnsi="Times New Roman" w:eastAsia="宋体" w:cs="Times New Roman"/>
                <w:sz w:val="24"/>
              </w:rPr>
              <w:t>1.要求具有一定的工作量，目的明确，要具体说明课程设计的软、硬件配置环境。</w:t>
            </w:r>
          </w:p>
          <w:p w14:paraId="00E2209D">
            <w:pPr>
              <w:rPr>
                <w:rFonts w:hint="default" w:ascii="Times New Roman" w:hAnsi="Times New Roman" w:eastAsia="宋体" w:cs="Times New Roman"/>
                <w:sz w:val="24"/>
              </w:rPr>
            </w:pPr>
            <w:r>
              <w:rPr>
                <w:rFonts w:hint="default" w:ascii="Times New Roman" w:hAnsi="Times New Roman" w:eastAsia="宋体" w:cs="Times New Roman"/>
                <w:sz w:val="24"/>
              </w:rPr>
              <w:t>2.要求能理解课程设计的基本原理并在报告中进行详细描述。</w:t>
            </w:r>
          </w:p>
          <w:p w14:paraId="6B5786BC">
            <w:pPr>
              <w:rPr>
                <w:rFonts w:hint="default" w:ascii="Times New Roman" w:hAnsi="Times New Roman" w:eastAsia="宋体" w:cs="Times New Roman"/>
                <w:sz w:val="24"/>
              </w:rPr>
            </w:pPr>
            <w:r>
              <w:rPr>
                <w:rFonts w:hint="default" w:ascii="Times New Roman" w:hAnsi="Times New Roman" w:eastAsia="宋体" w:cs="Times New Roman"/>
                <w:sz w:val="24"/>
              </w:rPr>
              <w:t>3.要求课程设计步骤正确、完整，结果清晰、详细。</w:t>
            </w:r>
          </w:p>
          <w:p w14:paraId="2E7924AC">
            <w:pPr>
              <w:rPr>
                <w:rFonts w:hint="default" w:ascii="Times New Roman" w:hAnsi="Times New Roman" w:eastAsia="宋体" w:cs="Times New Roman"/>
                <w:sz w:val="24"/>
              </w:rPr>
            </w:pPr>
            <w:r>
              <w:rPr>
                <w:rFonts w:hint="default" w:ascii="Times New Roman" w:hAnsi="Times New Roman" w:eastAsia="宋体" w:cs="Times New Roman"/>
                <w:sz w:val="24"/>
              </w:rPr>
              <w:t>4.总结分析包括课程设计结果评价，课程设计中遇到的主要问题的分析与处理，要求评价合理，问题描述清楚具体，分析透彻，处理正确。</w:t>
            </w:r>
          </w:p>
          <w:p w14:paraId="0E92CF38">
            <w:pPr>
              <w:rPr>
                <w:rFonts w:hint="default" w:ascii="Times New Roman" w:hAnsi="Times New Roman" w:eastAsia="宋体" w:cs="Times New Roman"/>
                <w:sz w:val="24"/>
              </w:rPr>
            </w:pPr>
            <w:r>
              <w:rPr>
                <w:rFonts w:hint="default" w:ascii="Times New Roman" w:hAnsi="Times New Roman" w:eastAsia="宋体" w:cs="Times New Roman"/>
                <w:sz w:val="24"/>
              </w:rPr>
              <w:t>6.课程设计不能出现雷同，课程设计的制作者不超过1人。</w:t>
            </w:r>
          </w:p>
          <w:p w14:paraId="49E17ED8">
            <w:pPr>
              <w:rPr>
                <w:rFonts w:hint="default" w:ascii="Times New Roman" w:hAnsi="Times New Roman" w:eastAsia="宋体" w:cs="Times New Roman"/>
                <w:sz w:val="24"/>
              </w:rPr>
            </w:pPr>
            <w:r>
              <w:rPr>
                <w:rFonts w:hint="default" w:ascii="Times New Roman" w:hAnsi="Times New Roman" w:eastAsia="宋体" w:cs="Times New Roman"/>
                <w:sz w:val="24"/>
              </w:rPr>
              <w:t>7.最终打包提交材料包括：课程设计报告、源代码。</w:t>
            </w:r>
          </w:p>
          <w:p w14:paraId="73DC799D">
            <w:pPr>
              <w:rPr>
                <w:rFonts w:hint="default" w:ascii="Times New Roman" w:hAnsi="Times New Roman" w:eastAsia="宋体" w:cs="Times New Roman"/>
                <w:sz w:val="24"/>
              </w:rPr>
            </w:pPr>
            <w:r>
              <w:rPr>
                <w:rFonts w:hint="default" w:ascii="Times New Roman" w:hAnsi="Times New Roman" w:eastAsia="宋体" w:cs="Times New Roman"/>
                <w:b/>
                <w:sz w:val="24"/>
              </w:rPr>
              <w:t>注意</w:t>
            </w:r>
            <w:r>
              <w:rPr>
                <w:rFonts w:hint="default" w:ascii="Times New Roman" w:hAnsi="Times New Roman" w:eastAsia="宋体" w:cs="Times New Roman"/>
                <w:sz w:val="24"/>
              </w:rPr>
              <w:t>：</w:t>
            </w:r>
          </w:p>
          <w:p w14:paraId="2E456D48">
            <w:pPr>
              <w:rPr>
                <w:rFonts w:hint="default" w:ascii="Times New Roman" w:hAnsi="Times New Roman" w:eastAsia="宋体" w:cs="Times New Roman"/>
                <w:sz w:val="24"/>
              </w:rPr>
            </w:pPr>
            <w:r>
              <w:rPr>
                <w:rFonts w:hint="default" w:ascii="Times New Roman" w:hAnsi="Times New Roman" w:eastAsia="宋体" w:cs="Times New Roman"/>
                <w:sz w:val="24"/>
              </w:rPr>
              <w:t xml:space="preserve">(1)不得有相互抄袭行为，抄袭视为作弊； </w:t>
            </w:r>
          </w:p>
          <w:p w14:paraId="3DA4C178">
            <w:pPr>
              <w:rPr>
                <w:rFonts w:hint="default" w:ascii="Times New Roman" w:hAnsi="Times New Roman" w:eastAsia="宋体" w:cs="Times New Roman"/>
                <w:sz w:val="24"/>
              </w:rPr>
            </w:pPr>
            <w:r>
              <w:rPr>
                <w:rFonts w:hint="default" w:ascii="Times New Roman" w:hAnsi="Times New Roman" w:eastAsia="宋体" w:cs="Times New Roman"/>
                <w:sz w:val="24"/>
              </w:rPr>
              <w:t>(2)任意一部分的内容都不得全部来自于网上某一两篇文章或百度百科等，需要在综合阅读的基础上总结提炼，将各部分要求的关键内容要明确以几条几点列出；</w:t>
            </w:r>
          </w:p>
          <w:p w14:paraId="22A97042">
            <w:pPr>
              <w:rPr>
                <w:rFonts w:hint="default" w:ascii="Times New Roman" w:hAnsi="Times New Roman" w:eastAsia="宋体" w:cs="Times New Roman"/>
                <w:sz w:val="24"/>
              </w:rPr>
            </w:pPr>
            <w:r>
              <w:rPr>
                <w:rFonts w:hint="default" w:ascii="Times New Roman" w:hAnsi="Times New Roman" w:eastAsia="宋体" w:cs="Times New Roman"/>
                <w:sz w:val="24"/>
              </w:rPr>
              <w:t>(4)字体为小四、宋体，标题和关键部分可以加黑、下划线等；在框内作答，可以加页</w:t>
            </w:r>
          </w:p>
          <w:p w14:paraId="06139AE7">
            <w:pPr>
              <w:rPr>
                <w:rFonts w:hint="default" w:ascii="Times New Roman" w:hAnsi="Times New Roman" w:eastAsia="宋体" w:cs="Times New Roman"/>
                <w:sz w:val="24"/>
              </w:rPr>
            </w:pPr>
            <w:r>
              <w:rPr>
                <w:rFonts w:hint="default" w:ascii="Times New Roman" w:hAnsi="Times New Roman" w:eastAsia="宋体" w:cs="Times New Roman"/>
                <w:sz w:val="24"/>
              </w:rPr>
              <w:t>(5)要注意版面规整，整个报告不得出现手写部分，本页内容不得有任何删除；</w:t>
            </w:r>
          </w:p>
          <w:p w14:paraId="084185FD">
            <w:pPr>
              <w:rPr>
                <w:rFonts w:hint="default" w:ascii="Times New Roman" w:hAnsi="Times New Roman" w:eastAsia="宋体" w:cs="Times New Roman"/>
                <w:sz w:val="24"/>
              </w:rPr>
            </w:pPr>
            <w:r>
              <w:rPr>
                <w:rFonts w:hint="default" w:ascii="Times New Roman" w:hAnsi="Times New Roman" w:eastAsia="宋体" w:cs="Times New Roman"/>
                <w:sz w:val="24"/>
              </w:rPr>
              <w:t>(6)A4纸打印，左边2颗钉装订；</w:t>
            </w:r>
          </w:p>
          <w:p w14:paraId="345FEA82">
            <w:pPr>
              <w:rPr>
                <w:rFonts w:hint="default" w:ascii="Times New Roman" w:hAnsi="Times New Roman" w:eastAsia="宋体" w:cs="Times New Roman"/>
                <w:sz w:val="24"/>
              </w:rPr>
            </w:pPr>
            <w:r>
              <w:rPr>
                <w:rFonts w:hint="default" w:ascii="Times New Roman" w:hAnsi="Times New Roman" w:eastAsia="宋体" w:cs="Times New Roman"/>
                <w:sz w:val="24"/>
              </w:rPr>
              <w:t>(7)注意不得通篇使用AI生成；</w:t>
            </w:r>
          </w:p>
          <w:p w14:paraId="6B7AED63">
            <w:pPr>
              <w:rPr>
                <w:rFonts w:hint="default" w:ascii="Times New Roman" w:hAnsi="Times New Roman" w:eastAsia="宋体" w:cs="Times New Roman"/>
                <w:sz w:val="24"/>
              </w:rPr>
            </w:pPr>
            <w:r>
              <w:rPr>
                <w:rFonts w:hint="default" w:ascii="Times New Roman" w:hAnsi="Times New Roman" w:eastAsia="宋体" w:cs="Times New Roman"/>
                <w:sz w:val="24"/>
              </w:rPr>
              <w:t>(8)参考文献符合规范，适当标注引用。</w:t>
            </w:r>
          </w:p>
          <w:p w14:paraId="4946B22D">
            <w:pPr>
              <w:jc w:val="center"/>
              <w:rPr>
                <w:rFonts w:hint="default" w:ascii="Times New Roman" w:hAnsi="Times New Roman" w:eastAsia="宋体" w:cs="Times New Roman"/>
                <w:b/>
                <w:sz w:val="24"/>
              </w:rPr>
            </w:pPr>
          </w:p>
          <w:p w14:paraId="1BBBFB76">
            <w:pPr>
              <w:jc w:val="center"/>
              <w:rPr>
                <w:rFonts w:hint="default" w:ascii="Times New Roman" w:hAnsi="Times New Roman" w:eastAsia="宋体" w:cs="Times New Roman"/>
                <w:b/>
                <w:sz w:val="24"/>
              </w:rPr>
            </w:pPr>
          </w:p>
          <w:p w14:paraId="79529E0E">
            <w:pPr>
              <w:jc w:val="center"/>
              <w:rPr>
                <w:rFonts w:hint="default" w:ascii="Times New Roman" w:hAnsi="Times New Roman" w:eastAsia="宋体" w:cs="Times New Roman"/>
                <w:b/>
              </w:rPr>
            </w:pPr>
            <w:r>
              <w:rPr>
                <w:rFonts w:hint="default" w:ascii="Times New Roman" w:hAnsi="Times New Roman" w:eastAsia="宋体" w:cs="Times New Roman"/>
                <w:b/>
                <w:sz w:val="24"/>
              </w:rPr>
              <w:t>违背以上任何一项要求的均酌情扣分。</w:t>
            </w:r>
          </w:p>
        </w:tc>
      </w:tr>
      <w:tr w14:paraId="757D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1080" w:type="dxa"/>
          <w:wAfter w:w="360" w:type="dxa"/>
          <w:trHeight w:val="13850" w:hRule="atLeast"/>
        </w:trPr>
        <w:tc>
          <w:tcPr>
            <w:tcW w:w="9180" w:type="dxa"/>
            <w:gridSpan w:val="2"/>
            <w:noWrap w:val="0"/>
            <w:vAlign w:val="top"/>
          </w:tcPr>
          <w:p w14:paraId="121BF688">
            <w:pPr>
              <w:spacing w:before="120" w:after="120" w:line="300" w:lineRule="auto"/>
              <w:jc w:val="center"/>
              <w:rPr>
                <w:rFonts w:hint="default" w:ascii="Times New Roman" w:hAnsi="Times New Roman" w:eastAsia="宋体" w:cs="Times New Roman"/>
                <w:b/>
                <w:i w:val="0"/>
                <w:sz w:val="32"/>
              </w:rPr>
            </w:pPr>
            <w:r>
              <w:rPr>
                <w:rFonts w:hint="default" w:ascii="Times New Roman" w:hAnsi="Times New Roman" w:eastAsia="宋体" w:cs="Times New Roman"/>
                <w:b/>
                <w:i w:val="0"/>
                <w:sz w:val="32"/>
              </w:rPr>
              <w:t>项目七：基于 AI 算法的量化交易策略课程设计报告</w:t>
            </w:r>
          </w:p>
          <w:p w14:paraId="46964AEC">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摘要</w:t>
            </w:r>
          </w:p>
          <w:p w14:paraId="7319930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本课程设计围绕"基于 AI 算法的量化交易策略"展开，设计并实现了一个结合股票历史行情、财经新闻情绪分析和机器学习预测的量化交易研究系统。与传统量化策略或纯 LLM 聊天式金融分析不同，本项目的核心创新在于将大语言模型作为辅助工具参与到特征构造环节，由 LLM 负责从原始财经新闻中提取情绪、原因和事件类别等语义特征，再将这些结构化特征与价格技术指标一起送入 XGBoost 分类器进行样本外方向预测。这种"LLM 做语义解析、机器学习做统计预测"的分工模式，使系统既保留了 LLM 对文本信息的深层理解能力，又利用了传统机器学习在结构化数据上的统计规律捕捉能力，形成互补。</w:t>
            </w:r>
          </w:p>
          <w:p w14:paraId="3137C3C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系统以 Polygon.io 获取的真实股票 OHLC 行情数据和相关新闻数据为基础，经过数据清洗、新闻过滤、LLM 情绪分析、交易日对齐和特征工程后，构建以 XGBoost 为主的股票涨跌方向预测模型，并将预测概率转换为交易信号进行样本外回测。</w:t>
            </w:r>
          </w:p>
          <w:p w14:paraId="674563D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项目选择 XGBoost 作为主模型，主要原因在于本项目数据以交易日粒度的结构化表格特征为主，样本规模相对有限，而 XGBoost 对中小规模表格数据具有较好的稳定性、训练效率和可解释性。除主模型外，项目还实现了 LightGBM、Random Forest、Logistic Regression 对照实验以及基于 PyTorch 的 LSTM 拓展实验。结果表明，LSTM 在当前数据条件下准确率仅为 39.94%（基线 60.06%），未优于树模型；多模型对比也显示 XGBoost 与 LightGBM、Random Forest 的样本外 AUC 差异很小，说明当前性能瓶颈主要不在算法种类，而在标签噪声、特征表达和任务定义。</w:t>
            </w:r>
          </w:p>
          <w:p w14:paraId="2DB6BF4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在策略评估中，项目采用扩展窗口样本外回测方法，将模型输出概率转换为买入或空仓信号，并计算年化收益率、最大回撤、累计收益率、胜率和交易次数等指标。综合收益、回撤和交易活跃度后，报告选取 MU 股票、T+5 预测周期、阈值 0.5 的策略组合作为代表性结果。该策略在 2024-12-16 至 2026-03-03 的回测区间内取得 162.99% 的年化收益率和 19.00% 的最大回撤，满足课程要求中“年化收益率超过 20%、最大回撤不超过 20%”的指标要求。需要客观看待的是，模型在部分扩展窗口实验中的分类与排序能力仍然偏弱，因此本项目更适合被理解为“在真实数据和完整实验链路下得到的课程实验结果”，而不是已经证明具备稳定泛化能力的实盘策略</w:t>
            </w:r>
            <w:r>
              <w:rPr>
                <w:rFonts w:hint="eastAsia" w:cs="Times New Roman"/>
                <w:b w:val="0"/>
                <w:i w:val="0"/>
                <w:sz w:val="24"/>
                <w:lang w:eastAsia="zh-CN"/>
              </w:rPr>
              <w:t>，</w:t>
            </w:r>
            <w:r>
              <w:rPr>
                <w:rFonts w:hint="eastAsia" w:cs="Times New Roman"/>
                <w:b w:val="0"/>
                <w:i w:val="0"/>
                <w:sz w:val="24"/>
                <w:lang w:val="en-US" w:eastAsia="zh-CN"/>
              </w:rPr>
              <w:t>而且本实验主要工作是将LLM的分析能力加入到了特征工程和用户体验中，构建其完整的股票分析平台</w:t>
            </w:r>
            <w:r>
              <w:rPr>
                <w:rFonts w:hint="default" w:ascii="Times New Roman" w:hAnsi="Times New Roman" w:eastAsia="宋体" w:cs="Times New Roman"/>
                <w:b w:val="0"/>
                <w:i w:val="0"/>
                <w:sz w:val="24"/>
              </w:rPr>
              <w:t>。</w:t>
            </w:r>
          </w:p>
          <w:p w14:paraId="69E9A24C">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一、课程设计目的</w:t>
            </w:r>
          </w:p>
          <w:p w14:paraId="19A9381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本课程设计的主要目标包括以下几个方面：</w:t>
            </w:r>
          </w:p>
          <w:p w14:paraId="09DE04A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自主选择并实现一种适用于量化交易场景的 AI 算法。</w:t>
            </w:r>
          </w:p>
          <w:p w14:paraId="15EBDD3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获取真实或可获取的金融市场数据，包括股票历史行情数据和相关新闻数据。</w:t>
            </w:r>
          </w:p>
          <w:p w14:paraId="167CA84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完成数据清洗、缺失值处理、特征构建和训练集测试集划分。</w:t>
            </w:r>
          </w:p>
          <w:p w14:paraId="681B8C7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基于 AI 模型输出预测结果，并将预测结果转换为买入、卖出或持仓信号。</w:t>
            </w:r>
          </w:p>
          <w:p w14:paraId="6308884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对交易策略进行回测，计算收益率和风险指标。</w:t>
            </w:r>
          </w:p>
          <w:p w14:paraId="3B9BB3E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对策略效果进行总结，分析项目的优点、不足和后续优化方向。</w:t>
            </w:r>
          </w:p>
          <w:p w14:paraId="2CB3FF1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通过本项目，可以加深对机器学习算法、新闻情绪分析、量化交易策略构建和回测评估方法的理解，并掌握将 AI 算法应用到实际金融数据分析中的基本流程。</w:t>
            </w:r>
          </w:p>
          <w:p w14:paraId="1E8E7C10">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二、课程设计环境</w:t>
            </w:r>
          </w:p>
          <w:p w14:paraId="264ADECE">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2.1 硬件与操作系统环境</w:t>
            </w:r>
          </w:p>
          <w:p w14:paraId="4D9668F0">
            <w:pPr>
              <w:spacing w:before="0" w:after="120" w:line="360" w:lineRule="auto"/>
              <w:ind w:firstLine="476"/>
              <w:rPr>
                <w:rFonts w:hint="default" w:ascii="Times New Roman" w:hAnsi="Times New Roman" w:eastAsia="宋体" w:cs="Times New Roman"/>
                <w:lang w:val="en-US" w:eastAsia="zh-CN"/>
              </w:rPr>
            </w:pPr>
            <w:r>
              <w:rPr>
                <w:rFonts w:hint="default" w:ascii="Times New Roman" w:hAnsi="Times New Roman" w:eastAsia="宋体" w:cs="Times New Roman"/>
                <w:b w:val="0"/>
                <w:i w:val="0"/>
                <w:sz w:val="24"/>
              </w:rPr>
              <w:t>本项目在本地 Windows 环境下开发和运行，主要采用 Python 后端、SQLite 数据库和 React 前端完成系统实现。</w:t>
            </w:r>
            <w:r>
              <w:rPr>
                <w:rFonts w:hint="eastAsia" w:cs="Times New Roman"/>
                <w:b w:val="0"/>
                <w:i w:val="0"/>
                <w:sz w:val="24"/>
                <w:lang w:val="en-US" w:eastAsia="zh-CN"/>
              </w:rPr>
              <w:t>下表是具体的实验环境：</w:t>
            </w:r>
          </w:p>
          <w:tbl>
            <w:tblPr>
              <w:tblStyle w:val="5"/>
              <w:tblW w:w="0" w:type="auto"/>
              <w:jc w:val="center"/>
              <w:tblLayout w:type="fixed"/>
              <w:tblCellMar>
                <w:top w:w="0" w:type="dxa"/>
                <w:left w:w="108" w:type="dxa"/>
                <w:bottom w:w="0" w:type="dxa"/>
                <w:right w:w="108" w:type="dxa"/>
              </w:tblCellMar>
            </w:tblPr>
            <w:tblGrid>
              <w:gridCol w:w="4561"/>
              <w:gridCol w:w="4561"/>
            </w:tblGrid>
            <w:tr w14:paraId="0B7638EA">
              <w:tblPrEx>
                <w:tblCellMar>
                  <w:top w:w="0" w:type="dxa"/>
                  <w:left w:w="108" w:type="dxa"/>
                  <w:bottom w:w="0" w:type="dxa"/>
                  <w:right w:w="108" w:type="dxa"/>
                </w:tblCellMar>
              </w:tblPrEx>
              <w:trPr>
                <w:jc w:val="center"/>
              </w:trPr>
              <w:tc>
                <w:tcPr>
                  <w:tcW w:w="4561" w:type="dxa"/>
                  <w:vAlign w:val="center"/>
                </w:tcPr>
                <w:p w14:paraId="3811FACA">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项目</w:t>
                  </w:r>
                </w:p>
              </w:tc>
              <w:tc>
                <w:tcPr>
                  <w:tcW w:w="4561" w:type="dxa"/>
                  <w:vAlign w:val="center"/>
                </w:tcPr>
                <w:p w14:paraId="28E8A014">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说明</w:t>
                  </w:r>
                </w:p>
              </w:tc>
            </w:tr>
            <w:tr w14:paraId="3FE47F2A">
              <w:tblPrEx>
                <w:tblCellMar>
                  <w:top w:w="0" w:type="dxa"/>
                  <w:left w:w="108" w:type="dxa"/>
                  <w:bottom w:w="0" w:type="dxa"/>
                  <w:right w:w="108" w:type="dxa"/>
                </w:tblCellMar>
              </w:tblPrEx>
              <w:trPr>
                <w:jc w:val="center"/>
              </w:trPr>
              <w:tc>
                <w:tcPr>
                  <w:tcW w:w="4561" w:type="dxa"/>
                  <w:vAlign w:val="center"/>
                </w:tcPr>
                <w:p w14:paraId="1E4F01B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操作系统</w:t>
                  </w:r>
                </w:p>
              </w:tc>
              <w:tc>
                <w:tcPr>
                  <w:tcW w:w="4561" w:type="dxa"/>
                  <w:vAlign w:val="center"/>
                </w:tcPr>
                <w:p w14:paraId="6D54765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Windows 11</w:t>
                  </w:r>
                </w:p>
              </w:tc>
            </w:tr>
            <w:tr w14:paraId="36C664C1">
              <w:tblPrEx>
                <w:tblCellMar>
                  <w:top w:w="0" w:type="dxa"/>
                  <w:left w:w="108" w:type="dxa"/>
                  <w:bottom w:w="0" w:type="dxa"/>
                  <w:right w:w="108" w:type="dxa"/>
                </w:tblCellMar>
              </w:tblPrEx>
              <w:trPr>
                <w:jc w:val="center"/>
              </w:trPr>
              <w:tc>
                <w:tcPr>
                  <w:tcW w:w="4561" w:type="dxa"/>
                  <w:vAlign w:val="center"/>
                </w:tcPr>
                <w:p w14:paraId="74D3567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Python 版本</w:t>
                  </w:r>
                </w:p>
              </w:tc>
              <w:tc>
                <w:tcPr>
                  <w:tcW w:w="4561" w:type="dxa"/>
                  <w:vAlign w:val="center"/>
                </w:tcPr>
                <w:p w14:paraId="1EC0353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Python 3.12.4</w:t>
                  </w:r>
                </w:p>
              </w:tc>
            </w:tr>
            <w:tr w14:paraId="0972CF52">
              <w:tblPrEx>
                <w:tblCellMar>
                  <w:top w:w="0" w:type="dxa"/>
                  <w:left w:w="108" w:type="dxa"/>
                  <w:bottom w:w="0" w:type="dxa"/>
                  <w:right w:w="108" w:type="dxa"/>
                </w:tblCellMar>
              </w:tblPrEx>
              <w:trPr>
                <w:jc w:val="center"/>
              </w:trPr>
              <w:tc>
                <w:tcPr>
                  <w:tcW w:w="4561" w:type="dxa"/>
                  <w:vAlign w:val="center"/>
                </w:tcPr>
                <w:p w14:paraId="6753511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开发工具</w:t>
                  </w:r>
                </w:p>
              </w:tc>
              <w:tc>
                <w:tcPr>
                  <w:tcW w:w="4561" w:type="dxa"/>
                  <w:vAlign w:val="center"/>
                </w:tcPr>
                <w:p w14:paraId="5F9B210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VS Code</w:t>
                  </w:r>
                </w:p>
              </w:tc>
            </w:tr>
            <w:tr w14:paraId="14E44558">
              <w:tblPrEx>
                <w:tblCellMar>
                  <w:top w:w="0" w:type="dxa"/>
                  <w:left w:w="108" w:type="dxa"/>
                  <w:bottom w:w="0" w:type="dxa"/>
                  <w:right w:w="108" w:type="dxa"/>
                </w:tblCellMar>
              </w:tblPrEx>
              <w:trPr>
                <w:jc w:val="center"/>
              </w:trPr>
              <w:tc>
                <w:tcPr>
                  <w:tcW w:w="4561" w:type="dxa"/>
                  <w:vAlign w:val="center"/>
                </w:tcPr>
                <w:p w14:paraId="4585F04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系统架构</w:t>
                  </w:r>
                </w:p>
              </w:tc>
              <w:tc>
                <w:tcPr>
                  <w:tcW w:w="4561" w:type="dxa"/>
                  <w:vAlign w:val="center"/>
                </w:tcPr>
                <w:p w14:paraId="61B3BC6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64 位（AMD64）</w:t>
                  </w:r>
                </w:p>
              </w:tc>
            </w:tr>
            <w:tr w14:paraId="17C47B4E">
              <w:tblPrEx>
                <w:tblCellMar>
                  <w:top w:w="0" w:type="dxa"/>
                  <w:left w:w="108" w:type="dxa"/>
                  <w:bottom w:w="0" w:type="dxa"/>
                  <w:right w:w="108" w:type="dxa"/>
                </w:tblCellMar>
              </w:tblPrEx>
              <w:trPr>
                <w:jc w:val="center"/>
              </w:trPr>
              <w:tc>
                <w:tcPr>
                  <w:tcW w:w="4561" w:type="dxa"/>
                  <w:vAlign w:val="center"/>
                </w:tcPr>
                <w:p w14:paraId="5195535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物理内存</w:t>
                  </w:r>
                </w:p>
              </w:tc>
              <w:tc>
                <w:tcPr>
                  <w:tcW w:w="4561" w:type="dxa"/>
                  <w:vAlign w:val="center"/>
                </w:tcPr>
                <w:p w14:paraId="2220D663">
                  <w:pPr>
                    <w:spacing w:before="0" w:after="0" w:line="240" w:lineRule="auto"/>
                    <w:jc w:val="left"/>
                    <w:rPr>
                      <w:rFonts w:hint="default" w:ascii="Times New Roman" w:hAnsi="Times New Roman" w:eastAsia="宋体" w:cs="Times New Roman"/>
                    </w:rPr>
                  </w:pPr>
                  <w:r>
                    <w:rPr>
                      <w:rFonts w:hint="eastAsia" w:cs="Times New Roman"/>
                      <w:b w:val="0"/>
                      <w:i w:val="0"/>
                      <w:sz w:val="21"/>
                      <w:lang w:val="en-US" w:eastAsia="zh-CN"/>
                    </w:rPr>
                    <w:t xml:space="preserve">16 </w:t>
                  </w:r>
                  <w:r>
                    <w:rPr>
                      <w:rFonts w:hint="default" w:ascii="Times New Roman" w:hAnsi="Times New Roman" w:eastAsia="宋体" w:cs="Times New Roman"/>
                      <w:b w:val="0"/>
                      <w:i w:val="0"/>
                      <w:sz w:val="21"/>
                    </w:rPr>
                    <w:t>GB</w:t>
                  </w:r>
                </w:p>
              </w:tc>
            </w:tr>
            <w:tr w14:paraId="685744E4">
              <w:tblPrEx>
                <w:tblCellMar>
                  <w:top w:w="0" w:type="dxa"/>
                  <w:left w:w="108" w:type="dxa"/>
                  <w:bottom w:w="0" w:type="dxa"/>
                  <w:right w:w="108" w:type="dxa"/>
                </w:tblCellMar>
              </w:tblPrEx>
              <w:trPr>
                <w:jc w:val="center"/>
              </w:trPr>
              <w:tc>
                <w:tcPr>
                  <w:tcW w:w="4561" w:type="dxa"/>
                  <w:vAlign w:val="center"/>
                </w:tcPr>
                <w:p w14:paraId="553326A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数据库</w:t>
                  </w:r>
                </w:p>
              </w:tc>
              <w:tc>
                <w:tcPr>
                  <w:tcW w:w="4561" w:type="dxa"/>
                  <w:vAlign w:val="center"/>
                </w:tcPr>
                <w:p w14:paraId="2418442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SQLite</w:t>
                  </w:r>
                </w:p>
              </w:tc>
            </w:tr>
            <w:tr w14:paraId="7ADFBCB2">
              <w:tblPrEx>
                <w:tblCellMar>
                  <w:top w:w="0" w:type="dxa"/>
                  <w:left w:w="108" w:type="dxa"/>
                  <w:bottom w:w="0" w:type="dxa"/>
                  <w:right w:w="108" w:type="dxa"/>
                </w:tblCellMar>
              </w:tblPrEx>
              <w:trPr>
                <w:jc w:val="center"/>
              </w:trPr>
              <w:tc>
                <w:tcPr>
                  <w:tcW w:w="4561" w:type="dxa"/>
                  <w:vAlign w:val="center"/>
                </w:tcPr>
                <w:p w14:paraId="3979883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后端框架</w:t>
                  </w:r>
                </w:p>
              </w:tc>
              <w:tc>
                <w:tcPr>
                  <w:tcW w:w="4561" w:type="dxa"/>
                  <w:vAlign w:val="center"/>
                </w:tcPr>
                <w:p w14:paraId="1470D82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FastAPI</w:t>
                  </w:r>
                </w:p>
              </w:tc>
            </w:tr>
            <w:tr w14:paraId="77A72BA1">
              <w:tblPrEx>
                <w:tblCellMar>
                  <w:top w:w="0" w:type="dxa"/>
                  <w:left w:w="108" w:type="dxa"/>
                  <w:bottom w:w="0" w:type="dxa"/>
                  <w:right w:w="108" w:type="dxa"/>
                </w:tblCellMar>
              </w:tblPrEx>
              <w:trPr>
                <w:jc w:val="center"/>
              </w:trPr>
              <w:tc>
                <w:tcPr>
                  <w:tcW w:w="4561" w:type="dxa"/>
                  <w:vAlign w:val="center"/>
                </w:tcPr>
                <w:p w14:paraId="18B1966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前端框架</w:t>
                  </w:r>
                </w:p>
              </w:tc>
              <w:tc>
                <w:tcPr>
                  <w:tcW w:w="4561" w:type="dxa"/>
                  <w:vAlign w:val="center"/>
                </w:tcPr>
                <w:p w14:paraId="0D3F416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React + TypeScript</w:t>
                  </w:r>
                </w:p>
              </w:tc>
            </w:tr>
            <w:tr w14:paraId="2A5F6088">
              <w:tblPrEx>
                <w:tblCellMar>
                  <w:top w:w="0" w:type="dxa"/>
                  <w:left w:w="108" w:type="dxa"/>
                  <w:bottom w:w="0" w:type="dxa"/>
                  <w:right w:w="108" w:type="dxa"/>
                </w:tblCellMar>
              </w:tblPrEx>
              <w:trPr>
                <w:jc w:val="center"/>
              </w:trPr>
              <w:tc>
                <w:tcPr>
                  <w:tcW w:w="4561" w:type="dxa"/>
                  <w:vAlign w:val="center"/>
                </w:tcPr>
                <w:p w14:paraId="77ADA92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构建工具</w:t>
                  </w:r>
                </w:p>
              </w:tc>
              <w:tc>
                <w:tcPr>
                  <w:tcW w:w="4561" w:type="dxa"/>
                  <w:vAlign w:val="center"/>
                </w:tcPr>
                <w:p w14:paraId="4D5D8C4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Vite</w:t>
                  </w:r>
                </w:p>
              </w:tc>
            </w:tr>
            <w:tr w14:paraId="563D5109">
              <w:tblPrEx>
                <w:tblCellMar>
                  <w:top w:w="0" w:type="dxa"/>
                  <w:left w:w="108" w:type="dxa"/>
                  <w:bottom w:w="0" w:type="dxa"/>
                  <w:right w:w="108" w:type="dxa"/>
                </w:tblCellMar>
              </w:tblPrEx>
              <w:trPr>
                <w:jc w:val="center"/>
              </w:trPr>
              <w:tc>
                <w:tcPr>
                  <w:tcW w:w="4561" w:type="dxa"/>
                  <w:vAlign w:val="center"/>
                </w:tcPr>
                <w:p w14:paraId="23F967D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可视化</w:t>
                  </w:r>
                </w:p>
              </w:tc>
              <w:tc>
                <w:tcPr>
                  <w:tcW w:w="4561" w:type="dxa"/>
                  <w:vAlign w:val="center"/>
                </w:tcPr>
                <w:p w14:paraId="41313EC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D3.js</w:t>
                  </w:r>
                </w:p>
              </w:tc>
            </w:tr>
          </w:tbl>
          <w:p w14:paraId="01E912DB">
            <w:pPr>
              <w:rPr>
                <w:rFonts w:hint="default" w:ascii="Times New Roman" w:hAnsi="Times New Roman" w:eastAsia="宋体" w:cs="Times New Roman"/>
              </w:rPr>
            </w:pPr>
          </w:p>
          <w:p w14:paraId="50D99036">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2.2 Python 环境与主要依赖</w:t>
            </w:r>
          </w:p>
          <w:p w14:paraId="6322696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项目主要使用 Python 进行数据处理、机器学习训练和策略回测。主要依赖如下：</w:t>
            </w:r>
          </w:p>
          <w:tbl>
            <w:tblPr>
              <w:tblStyle w:val="5"/>
              <w:tblW w:w="0" w:type="auto"/>
              <w:jc w:val="center"/>
              <w:tblLayout w:type="fixed"/>
              <w:tblCellMar>
                <w:top w:w="0" w:type="dxa"/>
                <w:left w:w="108" w:type="dxa"/>
                <w:bottom w:w="0" w:type="dxa"/>
                <w:right w:w="108" w:type="dxa"/>
              </w:tblCellMar>
            </w:tblPr>
            <w:tblGrid>
              <w:gridCol w:w="4561"/>
              <w:gridCol w:w="4561"/>
            </w:tblGrid>
            <w:tr w14:paraId="235F2FD8">
              <w:tblPrEx>
                <w:tblCellMar>
                  <w:top w:w="0" w:type="dxa"/>
                  <w:left w:w="108" w:type="dxa"/>
                  <w:bottom w:w="0" w:type="dxa"/>
                  <w:right w:w="108" w:type="dxa"/>
                </w:tblCellMar>
              </w:tblPrEx>
              <w:trPr>
                <w:jc w:val="center"/>
              </w:trPr>
              <w:tc>
                <w:tcPr>
                  <w:tcW w:w="4561" w:type="dxa"/>
                  <w:vAlign w:val="center"/>
                </w:tcPr>
                <w:p w14:paraId="6B81D02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依赖库</w:t>
                  </w:r>
                </w:p>
              </w:tc>
              <w:tc>
                <w:tcPr>
                  <w:tcW w:w="4561" w:type="dxa"/>
                  <w:vAlign w:val="center"/>
                </w:tcPr>
                <w:p w14:paraId="109CB7BC">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用途</w:t>
                  </w:r>
                </w:p>
              </w:tc>
            </w:tr>
            <w:tr w14:paraId="508DA4E3">
              <w:tblPrEx>
                <w:tblCellMar>
                  <w:top w:w="0" w:type="dxa"/>
                  <w:left w:w="108" w:type="dxa"/>
                  <w:bottom w:w="0" w:type="dxa"/>
                  <w:right w:w="108" w:type="dxa"/>
                </w:tblCellMar>
              </w:tblPrEx>
              <w:trPr>
                <w:jc w:val="center"/>
              </w:trPr>
              <w:tc>
                <w:tcPr>
                  <w:tcW w:w="4561" w:type="dxa"/>
                  <w:vAlign w:val="center"/>
                </w:tcPr>
                <w:p w14:paraId="3C0717E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numpy</w:t>
                  </w:r>
                </w:p>
              </w:tc>
              <w:tc>
                <w:tcPr>
                  <w:tcW w:w="4561" w:type="dxa"/>
                  <w:vAlign w:val="center"/>
                </w:tcPr>
                <w:p w14:paraId="5E6C3C1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数值计算</w:t>
                  </w:r>
                </w:p>
              </w:tc>
            </w:tr>
            <w:tr w14:paraId="63C80EC2">
              <w:tblPrEx>
                <w:tblCellMar>
                  <w:top w:w="0" w:type="dxa"/>
                  <w:left w:w="108" w:type="dxa"/>
                  <w:bottom w:w="0" w:type="dxa"/>
                  <w:right w:w="108" w:type="dxa"/>
                </w:tblCellMar>
              </w:tblPrEx>
              <w:trPr>
                <w:jc w:val="center"/>
              </w:trPr>
              <w:tc>
                <w:tcPr>
                  <w:tcW w:w="4561" w:type="dxa"/>
                  <w:vAlign w:val="center"/>
                </w:tcPr>
                <w:p w14:paraId="09A2629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pandas</w:t>
                  </w:r>
                </w:p>
              </w:tc>
              <w:tc>
                <w:tcPr>
                  <w:tcW w:w="4561" w:type="dxa"/>
                  <w:vAlign w:val="center"/>
                </w:tcPr>
                <w:p w14:paraId="64AD6B1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表格数据处理、特征工程</w:t>
                  </w:r>
                </w:p>
              </w:tc>
            </w:tr>
            <w:tr w14:paraId="32AF0238">
              <w:tblPrEx>
                <w:tblCellMar>
                  <w:top w:w="0" w:type="dxa"/>
                  <w:left w:w="108" w:type="dxa"/>
                  <w:bottom w:w="0" w:type="dxa"/>
                  <w:right w:w="108" w:type="dxa"/>
                </w:tblCellMar>
              </w:tblPrEx>
              <w:trPr>
                <w:jc w:val="center"/>
              </w:trPr>
              <w:tc>
                <w:tcPr>
                  <w:tcW w:w="4561" w:type="dxa"/>
                  <w:vAlign w:val="center"/>
                </w:tcPr>
                <w:p w14:paraId="49CE5C5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scikit-learn</w:t>
                  </w:r>
                </w:p>
              </w:tc>
              <w:tc>
                <w:tcPr>
                  <w:tcW w:w="4561" w:type="dxa"/>
                  <w:vAlign w:val="center"/>
                </w:tcPr>
                <w:p w14:paraId="776AA1C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模型评估、机器学习辅助工具</w:t>
                  </w:r>
                </w:p>
              </w:tc>
            </w:tr>
            <w:tr w14:paraId="76A5E89C">
              <w:tblPrEx>
                <w:tblCellMar>
                  <w:top w:w="0" w:type="dxa"/>
                  <w:left w:w="108" w:type="dxa"/>
                  <w:bottom w:w="0" w:type="dxa"/>
                  <w:right w:w="108" w:type="dxa"/>
                </w:tblCellMar>
              </w:tblPrEx>
              <w:trPr>
                <w:jc w:val="center"/>
              </w:trPr>
              <w:tc>
                <w:tcPr>
                  <w:tcW w:w="4561" w:type="dxa"/>
                  <w:vAlign w:val="center"/>
                </w:tcPr>
                <w:p w14:paraId="6167053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4561" w:type="dxa"/>
                  <w:vAlign w:val="center"/>
                </w:tcPr>
                <w:p w14:paraId="217580E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 分类模型训练与预测</w:t>
                  </w:r>
                </w:p>
              </w:tc>
            </w:tr>
            <w:tr w14:paraId="417B707B">
              <w:tblPrEx>
                <w:tblCellMar>
                  <w:top w:w="0" w:type="dxa"/>
                  <w:left w:w="108" w:type="dxa"/>
                  <w:bottom w:w="0" w:type="dxa"/>
                  <w:right w:w="108" w:type="dxa"/>
                </w:tblCellMar>
              </w:tblPrEx>
              <w:trPr>
                <w:jc w:val="center"/>
              </w:trPr>
              <w:tc>
                <w:tcPr>
                  <w:tcW w:w="4561" w:type="dxa"/>
                  <w:vAlign w:val="center"/>
                </w:tcPr>
                <w:p w14:paraId="7C2A420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requests</w:t>
                  </w:r>
                </w:p>
              </w:tc>
              <w:tc>
                <w:tcPr>
                  <w:tcW w:w="4561" w:type="dxa"/>
                  <w:vAlign w:val="center"/>
                </w:tcPr>
                <w:p w14:paraId="5B06833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调用 Polygon.io 等外部接口</w:t>
                  </w:r>
                </w:p>
              </w:tc>
            </w:tr>
            <w:tr w14:paraId="3A736B80">
              <w:tblPrEx>
                <w:tblCellMar>
                  <w:top w:w="0" w:type="dxa"/>
                  <w:left w:w="108" w:type="dxa"/>
                  <w:bottom w:w="0" w:type="dxa"/>
                  <w:right w:w="108" w:type="dxa"/>
                </w:tblCellMar>
              </w:tblPrEx>
              <w:trPr>
                <w:jc w:val="center"/>
              </w:trPr>
              <w:tc>
                <w:tcPr>
                  <w:tcW w:w="4561" w:type="dxa"/>
                  <w:vAlign w:val="center"/>
                </w:tcPr>
                <w:p w14:paraId="27BF6FE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fastapi</w:t>
                  </w:r>
                </w:p>
              </w:tc>
              <w:tc>
                <w:tcPr>
                  <w:tcW w:w="4561" w:type="dxa"/>
                  <w:vAlign w:val="center"/>
                </w:tcPr>
                <w:p w14:paraId="1FD4AF0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后端 API 服务</w:t>
                  </w:r>
                </w:p>
              </w:tc>
            </w:tr>
            <w:tr w14:paraId="2ADF0635">
              <w:tblPrEx>
                <w:tblCellMar>
                  <w:top w:w="0" w:type="dxa"/>
                  <w:left w:w="108" w:type="dxa"/>
                  <w:bottom w:w="0" w:type="dxa"/>
                  <w:right w:w="108" w:type="dxa"/>
                </w:tblCellMar>
              </w:tblPrEx>
              <w:trPr>
                <w:jc w:val="center"/>
              </w:trPr>
              <w:tc>
                <w:tcPr>
                  <w:tcW w:w="4561" w:type="dxa"/>
                  <w:vAlign w:val="center"/>
                </w:tcPr>
                <w:p w14:paraId="38E020F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uvicorn</w:t>
                  </w:r>
                </w:p>
              </w:tc>
              <w:tc>
                <w:tcPr>
                  <w:tcW w:w="4561" w:type="dxa"/>
                  <w:vAlign w:val="center"/>
                </w:tcPr>
                <w:p w14:paraId="5FF4189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FastAPI 服务运行</w:t>
                  </w:r>
                </w:p>
              </w:tc>
            </w:tr>
            <w:tr w14:paraId="41C64124">
              <w:tblPrEx>
                <w:tblCellMar>
                  <w:top w:w="0" w:type="dxa"/>
                  <w:left w:w="108" w:type="dxa"/>
                  <w:bottom w:w="0" w:type="dxa"/>
                  <w:right w:w="108" w:type="dxa"/>
                </w:tblCellMar>
              </w:tblPrEx>
              <w:trPr>
                <w:jc w:val="center"/>
              </w:trPr>
              <w:tc>
                <w:tcPr>
                  <w:tcW w:w="4561" w:type="dxa"/>
                  <w:vAlign w:val="center"/>
                </w:tcPr>
                <w:p w14:paraId="06B6417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pydantic-settings</w:t>
                  </w:r>
                </w:p>
              </w:tc>
              <w:tc>
                <w:tcPr>
                  <w:tcW w:w="4561" w:type="dxa"/>
                  <w:vAlign w:val="center"/>
                </w:tcPr>
                <w:p w14:paraId="58A0943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环境变量和配置管理</w:t>
                  </w:r>
                </w:p>
              </w:tc>
            </w:tr>
            <w:tr w14:paraId="732AD47A">
              <w:tblPrEx>
                <w:tblCellMar>
                  <w:top w:w="0" w:type="dxa"/>
                  <w:left w:w="108" w:type="dxa"/>
                  <w:bottom w:w="0" w:type="dxa"/>
                  <w:right w:w="108" w:type="dxa"/>
                </w:tblCellMar>
              </w:tblPrEx>
              <w:trPr>
                <w:jc w:val="center"/>
              </w:trPr>
              <w:tc>
                <w:tcPr>
                  <w:tcW w:w="4561" w:type="dxa"/>
                  <w:vAlign w:val="center"/>
                </w:tcPr>
                <w:p w14:paraId="6FD699E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openai / anthropic</w:t>
                  </w:r>
                </w:p>
              </w:tc>
              <w:tc>
                <w:tcPr>
                  <w:tcW w:w="4561" w:type="dxa"/>
                  <w:vAlign w:val="center"/>
                </w:tcPr>
                <w:p w14:paraId="53835BE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LLM 接口调用</w:t>
                  </w:r>
                </w:p>
              </w:tc>
            </w:tr>
            <w:tr w14:paraId="4217F34A">
              <w:tblPrEx>
                <w:tblCellMar>
                  <w:top w:w="0" w:type="dxa"/>
                  <w:left w:w="108" w:type="dxa"/>
                  <w:bottom w:w="0" w:type="dxa"/>
                  <w:right w:w="108" w:type="dxa"/>
                </w:tblCellMar>
              </w:tblPrEx>
              <w:trPr>
                <w:jc w:val="center"/>
              </w:trPr>
              <w:tc>
                <w:tcPr>
                  <w:tcW w:w="4561" w:type="dxa"/>
                  <w:vAlign w:val="center"/>
                </w:tcPr>
                <w:p w14:paraId="0DEB543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torch</w:t>
                  </w:r>
                </w:p>
              </w:tc>
              <w:tc>
                <w:tcPr>
                  <w:tcW w:w="4561" w:type="dxa"/>
                  <w:vAlign w:val="center"/>
                </w:tcPr>
                <w:p w14:paraId="081E6A1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深度学习实验依赖</w:t>
                  </w:r>
                </w:p>
              </w:tc>
            </w:tr>
            <w:tr w14:paraId="390666FA">
              <w:tblPrEx>
                <w:tblCellMar>
                  <w:top w:w="0" w:type="dxa"/>
                  <w:left w:w="108" w:type="dxa"/>
                  <w:bottom w:w="0" w:type="dxa"/>
                  <w:right w:w="108" w:type="dxa"/>
                </w:tblCellMar>
              </w:tblPrEx>
              <w:trPr>
                <w:jc w:val="center"/>
              </w:trPr>
              <w:tc>
                <w:tcPr>
                  <w:tcW w:w="4561" w:type="dxa"/>
                  <w:vAlign w:val="center"/>
                </w:tcPr>
                <w:p w14:paraId="6BE844C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pytest</w:t>
                  </w:r>
                </w:p>
              </w:tc>
              <w:tc>
                <w:tcPr>
                  <w:tcW w:w="4561" w:type="dxa"/>
                  <w:vAlign w:val="center"/>
                </w:tcPr>
                <w:p w14:paraId="50B01A7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测试框架</w:t>
                  </w:r>
                </w:p>
              </w:tc>
            </w:tr>
            <w:tr w14:paraId="26283FA0">
              <w:tblPrEx>
                <w:tblCellMar>
                  <w:top w:w="0" w:type="dxa"/>
                  <w:left w:w="108" w:type="dxa"/>
                  <w:bottom w:w="0" w:type="dxa"/>
                  <w:right w:w="108" w:type="dxa"/>
                </w:tblCellMar>
              </w:tblPrEx>
              <w:trPr>
                <w:jc w:val="center"/>
              </w:trPr>
              <w:tc>
                <w:tcPr>
                  <w:tcW w:w="4561" w:type="dxa"/>
                  <w:vAlign w:val="center"/>
                </w:tcPr>
                <w:p w14:paraId="1161F7F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vite</w:t>
                  </w:r>
                </w:p>
              </w:tc>
              <w:tc>
                <w:tcPr>
                  <w:tcW w:w="4561" w:type="dxa"/>
                  <w:vAlign w:val="center"/>
                </w:tcPr>
                <w:p w14:paraId="193F331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前端构建工具</w:t>
                  </w:r>
                </w:p>
              </w:tc>
            </w:tr>
          </w:tbl>
          <w:p w14:paraId="6C1C13FD">
            <w:pPr>
              <w:rPr>
                <w:rFonts w:hint="default" w:ascii="Times New Roman" w:hAnsi="Times New Roman" w:eastAsia="宋体" w:cs="Times New Roman"/>
              </w:rPr>
            </w:pPr>
          </w:p>
          <w:p w14:paraId="07F4B5A4">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2.3 数据来源</w:t>
            </w:r>
          </w:p>
          <w:p w14:paraId="3E7CC1C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本项目的数据来源主要包括：</w:t>
            </w:r>
          </w:p>
          <w:p w14:paraId="1B8B3AA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股票行情数据：Polygon.io 提供的日频 OHLC 数据，包括开盘价、最高价、最低价、收盘价、成交量、VWAP 和交易笔数。</w:t>
            </w:r>
          </w:p>
          <w:p w14:paraId="7AA6779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财经新闻数据：Polygon.io 提供的股票相关新闻，包括标题、摘要、发布时间、发布来源、关联股票等。</w:t>
            </w:r>
          </w:p>
          <w:p w14:paraId="1DB3029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新闻情绪分析结果：通过 LLM 对新闻摘要进行相关性判断、情绪分类和原因提取。</w:t>
            </w:r>
          </w:p>
          <w:p w14:paraId="4713B2B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以本次课程报告使用的实验快照为准，当前本地数据库中已保存 105 只股票、56676 条 OHLC 行情数据、63831 条原始新闻数据、117078 条新闻交易日对齐数据和 110970 条 Layer 1 新闻情绪分析结果。上述统计用于说明数据规模，后续再次拉取数据后数量可能发生变化。</w:t>
            </w:r>
          </w:p>
          <w:p w14:paraId="5A731DEE">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三、课程设计原理</w:t>
            </w:r>
          </w:p>
          <w:p w14:paraId="68F7E843">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3.1 量化交易策略整体思路</w:t>
            </w:r>
          </w:p>
          <w:p w14:paraId="2889F8E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项目的基本思路是：股票价格变化不仅受到历史价格走势、成交量和技术指标影响，也可能受到相关新闻事件影响。因此，项目将行情数据和新闻情绪数据结合起来，构建机器学习特征，并训练模型预测未来一段时间内股票价格是否上涨。</w:t>
            </w:r>
          </w:p>
          <w:p w14:paraId="7CB15ED5">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整体流程如下：</w:t>
            </w:r>
          </w:p>
          <w:p w14:paraId="740E67D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获取股票历史行情和相关新闻。</w:t>
            </w:r>
          </w:p>
          <w:p w14:paraId="0BDFB75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对原始新闻进行规则过滤，删除空摘要、过短摘要、市场综述和榜单类文章。</w:t>
            </w:r>
          </w:p>
          <w:p w14:paraId="4E5B341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使用 LLM 对新闻进行批量情绪分析，提取新闻相关性、情感方向、摘要、上涨原因和下跌原因。</w:t>
            </w:r>
          </w:p>
          <w:p w14:paraId="029FAF2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将新闻发布时间对齐到交易日，并计算新闻发布后 T+0、T+1、T+3、T+5、T+10 收益。</w:t>
            </w:r>
          </w:p>
          <w:p w14:paraId="727CF912">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按交易日聚合新闻特征，并结合价格技术指标构建机器学习特征。</w:t>
            </w:r>
          </w:p>
          <w:p w14:paraId="3CE8B71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使用 XGBoost 模型预测未来 T+1 或 T+5 股票价格方向。</w:t>
            </w:r>
          </w:p>
          <w:p w14:paraId="5F8D5CF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7. 根据模型输出概率和阈值生成交易信号。</w:t>
            </w:r>
          </w:p>
          <w:p w14:paraId="68B5E22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8. 进行策略回测，计算收益和风险指标。</w:t>
            </w:r>
          </w:p>
          <w:p w14:paraId="62EC3896">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3.2 XGBoost 算法原理</w:t>
            </w:r>
          </w:p>
          <w:p w14:paraId="4556A43E">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XGBoost 是一种基于梯度提升树的机器学习算法。它通过逐步训练多棵决策树，使后一棵树不断修正前面模型的预测误差，最终形成一个强预测模型。</w:t>
            </w:r>
          </w:p>
          <w:p w14:paraId="74678EA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在二分类任务中，XGBoost 的输入是特征矩阵，输出是样本属于正类的概率。本项目中，正类表示未来指定周期后股票收盘价高于当前收盘价，即股票价格上涨。</w:t>
            </w:r>
          </w:p>
          <w:p w14:paraId="4007E7C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从数学形式上看，XGBoost 将第 i 个样本的预测值表示为多棵树输出之和：</w:t>
            </w:r>
          </w:p>
          <w:p w14:paraId="3D293E5C">
            <w:pPr>
              <w:spacing w:before="0" w:after="120" w:line="240" w:lineRule="auto"/>
              <w:jc w:val="center"/>
              <w:rPr>
                <w:rFonts w:hint="eastAsia" w:ascii="Times New Roman" w:hAnsi="Times New Roman" w:eastAsia="宋体" w:cs="Times New Roman"/>
                <w:lang w:val="en-US" w:eastAsia="zh-CN"/>
              </w:rPr>
            </w:pPr>
            <m:oMathPara>
              <m:oMath>
                <m:sSub>
                  <m:sSubPr>
                    <m:ctrlPr>
                      <w:rPr>
                        <w:rFonts w:hint="default" w:ascii="Cambria Math" w:hAnsi="Cambria Math" w:eastAsia="宋体"/>
                        <w:sz w:val="22"/>
                      </w:rPr>
                    </m:ctrlPr>
                  </m:sSubPr>
                  <m:e>
                    <m:acc>
                      <m:accPr>
                        <m:ctrlPr>
                          <w:rPr>
                            <w:rFonts w:hint="default" w:ascii="Cambria Math" w:hAnsi="Cambria Math" w:eastAsia="宋体"/>
                            <w:sz w:val="22"/>
                          </w:rPr>
                        </m:ctrlPr>
                      </m:accPr>
                      <m:e>
                        <m:r>
                          <m:rPr/>
                          <w:rPr>
                            <w:rFonts w:hint="default" w:ascii="Cambria Math" w:hAnsi="Cambria Math" w:eastAsia="宋体"/>
                            <w:sz w:val="22"/>
                          </w:rPr>
                          <m:t>y</m:t>
                        </m:r>
                        <m:ctrlPr>
                          <w:rPr>
                            <w:rFonts w:ascii="Cambria Math" w:hAnsi="Cambria Math" w:eastAsia="宋体"/>
                            <w:sz w:val="22"/>
                          </w:rPr>
                        </m:ctrlPr>
                      </m:e>
                    </m:acc>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nary>
                  <m:naryPr>
                    <m:chr m:val="∑"/>
                    <m:limLoc m:val="undOvr"/>
                    <m:ctrlPr>
                      <w:rPr>
                        <w:rFonts w:hint="default" w:ascii="Cambria Math" w:hAnsi="Cambria Math" w:eastAsia="宋体"/>
                        <w:sz w:val="22"/>
                      </w:rPr>
                    </m:ctrlPr>
                  </m:naryPr>
                  <m:sub>
                    <m:r>
                      <m:rPr/>
                      <w:rPr>
                        <w:rFonts w:hint="default" w:ascii="Cambria Math" w:hAnsi="Cambria Math" w:eastAsia="宋体"/>
                        <w:sz w:val="22"/>
                      </w:rPr>
                      <m:t>k=1</m:t>
                    </m:r>
                    <m:ctrlPr>
                      <w:rPr>
                        <w:rFonts w:hint="default" w:ascii="Cambria Math" w:hAnsi="Cambria Math" w:eastAsia="宋体"/>
                        <w:sz w:val="22"/>
                      </w:rPr>
                    </m:ctrlPr>
                  </m:sub>
                  <m:sup>
                    <m:r>
                      <m:rPr/>
                      <w:rPr>
                        <w:rFonts w:hint="default" w:ascii="Cambria Math" w:hAnsi="Cambria Math" w:eastAsia="宋体"/>
                        <w:sz w:val="22"/>
                      </w:rPr>
                      <m:t>K</m:t>
                    </m:r>
                    <m:ctrlPr>
                      <w:rPr>
                        <w:rFonts w:hint="default" w:ascii="Cambria Math" w:hAnsi="Cambria Math" w:eastAsia="宋体"/>
                        <w:sz w:val="22"/>
                      </w:rPr>
                    </m:ctrlPr>
                  </m:sup>
                  <m:e>
                    <m:sSub>
                      <m:sSubPr>
                        <m:ctrlPr>
                          <w:rPr>
                            <w:rFonts w:hint="default" w:ascii="Cambria Math" w:hAnsi="Cambria Math" w:eastAsia="宋体"/>
                            <w:sz w:val="22"/>
                          </w:rPr>
                        </m:ctrlPr>
                      </m:sSubPr>
                      <m:e>
                        <m:r>
                          <m:rPr/>
                          <w:rPr>
                            <w:rFonts w:hint="default" w:ascii="Cambria Math" w:hAnsi="Cambria Math" w:eastAsia="宋体"/>
                            <w:sz w:val="22"/>
                          </w:rPr>
                          <m:t>f</m:t>
                        </m:r>
                        <m:ctrlPr>
                          <w:rPr>
                            <w:rFonts w:ascii="Cambria Math" w:hAnsi="Cambria Math" w:eastAsia="宋体"/>
                            <w:sz w:val="22"/>
                          </w:rPr>
                        </m:ctrlPr>
                      </m:e>
                      <m:sub>
                        <m:r>
                          <m:rPr/>
                          <w:rPr>
                            <w:rFonts w:hint="default" w:ascii="Cambria Math" w:hAnsi="Cambria Math" w:eastAsia="宋体"/>
                            <w:sz w:val="22"/>
                          </w:rPr>
                          <m:t>k</m:t>
                        </m:r>
                        <m:ctrlPr>
                          <w:rPr>
                            <w:rFonts w:ascii="Cambria Math" w:hAnsi="Cambria Math" w:eastAsia="宋体"/>
                            <w:sz w:val="22"/>
                          </w:rPr>
                        </m:ctrlPr>
                      </m:sub>
                    </m:sSub>
                    <m:ctrlPr>
                      <w:rPr>
                        <w:rFonts w:hint="default" w:ascii="Cambria Math" w:hAnsi="Cambria Math" w:eastAsia="宋体"/>
                        <w:sz w:val="22"/>
                      </w:rPr>
                    </m:ctrlPr>
                  </m:e>
                </m:nary>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x</m:t>
                    </m:r>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r>
                  <m:rPr>
                    <m:sty m:val="p"/>
                  </m:rPr>
                  <w:rPr>
                    <w:rFonts w:hint="default" w:ascii="Cambria Math" w:hAnsi="Cambria Math" w:eastAsia="宋体"/>
                    <w:sz w:val="22"/>
                  </w:rPr>
                  <m:t xml:space="preserve">    </m:t>
                </m:r>
                <m:sSub>
                  <m:sSubPr>
                    <m:ctrlPr>
                      <w:rPr>
                        <w:rFonts w:hint="default" w:ascii="Cambria Math" w:hAnsi="Cambria Math" w:eastAsia="宋体"/>
                        <w:sz w:val="22"/>
                      </w:rPr>
                    </m:ctrlPr>
                  </m:sSubPr>
                  <m:e>
                    <m:r>
                      <m:rPr/>
                      <w:rPr>
                        <w:rFonts w:hint="default" w:ascii="Cambria Math" w:hAnsi="Cambria Math" w:eastAsia="宋体"/>
                        <w:sz w:val="22"/>
                      </w:rPr>
                      <m:t>f</m:t>
                    </m:r>
                    <m:ctrlPr>
                      <w:rPr>
                        <w:rFonts w:hint="default" w:ascii="Cambria Math" w:hAnsi="Cambria Math" w:eastAsia="宋体"/>
                        <w:sz w:val="22"/>
                      </w:rPr>
                    </m:ctrlPr>
                  </m:e>
                  <m:sub>
                    <m:r>
                      <m:rPr/>
                      <w:rPr>
                        <w:rFonts w:hint="default" w:ascii="Cambria Math" w:hAnsi="Cambria Math" w:eastAsia="宋体"/>
                        <w:sz w:val="22"/>
                      </w:rPr>
                      <m:t>k</m:t>
                    </m:r>
                    <m:ctrlPr>
                      <w:rPr>
                        <w:rFonts w:hint="default" w:ascii="Cambria Math" w:hAnsi="Cambria Math" w:eastAsia="宋体"/>
                        <w:sz w:val="22"/>
                      </w:rPr>
                    </m:ctrlPr>
                  </m:sub>
                </m:sSub>
                <m:r>
                  <m:rPr/>
                  <w:rPr>
                    <w:rFonts w:hint="default" w:ascii="Cambria Math" w:hAnsi="Cambria Math" w:eastAsia="宋体"/>
                    <w:sz w:val="22"/>
                  </w:rPr>
                  <m:t>∈</m:t>
                </m:r>
                <m:r>
                  <m:rPr>
                    <m:scr m:val="script"/>
                  </m:rPr>
                  <w:rPr>
                    <w:rFonts w:hint="default" w:ascii="Cambria Math" w:hAnsi="Cambria Math" w:eastAsia="MS Mincho"/>
                    <w:sz w:val="22"/>
                  </w:rPr>
                  <m:t>ℱ</m:t>
                </m:r>
              </m:oMath>
            </m:oMathPara>
          </w:p>
          <w:p w14:paraId="71035A1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其中，</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ascii="Times New Roman" w:hAnsi="Times New Roman" w:eastAsia="宋体" w:cs="Times New Roman"/>
                <w:b w:val="0"/>
                <w:i w:val="0"/>
                <w:sz w:val="24"/>
              </w:rPr>
              <w:t xml:space="preserve"> 表示输入特征，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default" w:ascii="Times New Roman" w:hAnsi="Times New Roman" w:eastAsia="宋体" w:cs="Times New Roman"/>
                <w:b w:val="0"/>
                <w:i w:val="0"/>
                <w:sz w:val="24"/>
              </w:rPr>
              <w:t xml:space="preserve"> 表示第 k 棵回归树，</w:t>
            </w:r>
            <m:oMath>
              <m:r>
                <m:rPr>
                  <m:scr m:val="script"/>
                </m:rPr>
                <w:rPr>
                  <w:rFonts w:hint="default" w:ascii="Cambria Math" w:hAnsi="Cambria Math" w:eastAsia="MS Mincho"/>
                  <w:sz w:val="24"/>
                </w:rPr>
                <m:t>ℱ</m:t>
              </m:r>
            </m:oMath>
            <w:r>
              <w:rPr>
                <w:rFonts w:hint="default" w:ascii="Times New Roman" w:hAnsi="Times New Roman" w:eastAsia="宋体" w:cs="Times New Roman"/>
                <w:b w:val="0"/>
                <w:i w:val="0"/>
                <w:sz w:val="24"/>
              </w:rPr>
              <w:t xml:space="preserve"> 表示所有候选树结构的集合。模型训练的目标是最小化“损失函数 + 正则项”：</w:t>
            </w:r>
          </w:p>
          <w:p w14:paraId="7E9D4123">
            <w:pPr>
              <w:spacing w:before="0" w:after="120" w:line="240" w:lineRule="auto"/>
              <w:jc w:val="center"/>
              <w:rPr>
                <w:rFonts w:hint="eastAsia" w:ascii="Times New Roman" w:hAnsi="Times New Roman" w:eastAsia="宋体" w:cs="Times New Roman"/>
                <w:lang w:val="en-US" w:eastAsia="zh-CN"/>
              </w:rPr>
            </w:pPr>
            <m:oMathPara>
              <m:oMath>
                <m:r>
                  <m:rPr>
                    <m:scr m:val="script"/>
                  </m:rPr>
                  <w:rPr>
                    <w:rFonts w:hint="default" w:ascii="Cambria Math" w:hAnsi="Cambria Math" w:eastAsia="MS Mincho"/>
                    <w:sz w:val="22"/>
                  </w:rPr>
                  <m:t>ℒ</m:t>
                </m:r>
                <m:r>
                  <m:rPr/>
                  <w:rPr>
                    <w:rFonts w:hint="default" w:ascii="Cambria Math" w:hAnsi="Cambria Math" w:eastAsia="宋体"/>
                    <w:sz w:val="22"/>
                  </w:rPr>
                  <m:t>=</m:t>
                </m:r>
                <m:nary>
                  <m:naryPr>
                    <m:chr m:val="∑"/>
                    <m:limLoc m:val="undOvr"/>
                    <m:ctrlPr>
                      <w:rPr>
                        <w:rFonts w:hint="default" w:ascii="Cambria Math" w:hAnsi="Cambria Math" w:eastAsia="宋体"/>
                        <w:sz w:val="22"/>
                      </w:rPr>
                    </m:ctrlPr>
                  </m:naryPr>
                  <m:sub>
                    <m:r>
                      <m:rPr/>
                      <w:rPr>
                        <w:rFonts w:hint="default" w:ascii="Cambria Math" w:hAnsi="Cambria Math" w:eastAsia="宋体"/>
                        <w:sz w:val="22"/>
                      </w:rPr>
                      <m:t>i=1</m:t>
                    </m:r>
                    <m:ctrlPr>
                      <w:rPr>
                        <w:rFonts w:ascii="Cambria Math" w:hAnsi="Cambria Math" w:eastAsia="宋体"/>
                        <w:sz w:val="22"/>
                      </w:rPr>
                    </m:ctrlPr>
                  </m:sub>
                  <m:sup>
                    <m:r>
                      <m:rPr/>
                      <w:rPr>
                        <w:rFonts w:hint="default" w:ascii="Cambria Math" w:hAnsi="Cambria Math" w:eastAsia="宋体"/>
                        <w:sz w:val="22"/>
                      </w:rPr>
                      <m:t>n</m:t>
                    </m:r>
                    <m:ctrlPr>
                      <w:rPr>
                        <w:rFonts w:ascii="Cambria Math" w:hAnsi="Cambria Math" w:eastAsia="宋体"/>
                        <w:sz w:val="22"/>
                      </w:rPr>
                    </m:ctrlPr>
                  </m:sup>
                  <m:e>
                    <m:r>
                      <m:rPr/>
                      <w:rPr>
                        <w:rFonts w:hint="default" w:ascii="Cambria Math" w:hAnsi="Cambria Math" w:eastAsia="宋体"/>
                        <w:sz w:val="22"/>
                      </w:rPr>
                      <m:t>l</m:t>
                    </m:r>
                    <m:ctrlPr>
                      <w:rPr>
                        <w:rFonts w:ascii="Cambria Math" w:hAnsi="Cambria Math" w:eastAsia="宋体"/>
                        <w:sz w:val="22"/>
                      </w:rPr>
                    </m:ctrlPr>
                  </m:e>
                </m:nary>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y</m:t>
                    </m:r>
                    <m:ctrlPr>
                      <w:rPr>
                        <w:rFonts w:ascii="Cambria Math" w:hAnsi="Cambria Math" w:eastAsia="宋体"/>
                        <w:sz w:val="22"/>
                      </w:rPr>
                    </m:ctrlPr>
                  </m:e>
                  <m:sub>
                    <m:r>
                      <m:rPr/>
                      <w:rPr>
                        <w:rFonts w:hint="default" w:ascii="Cambria Math" w:hAnsi="Cambria Math" w:eastAsia="宋体"/>
                        <w:sz w:val="22"/>
                      </w:rPr>
                      <m:t>i</m:t>
                    </m:r>
                    <m:ctrlPr>
                      <w:rPr>
                        <w:rFonts w:ascii="Cambria Math" w:hAnsi="Cambria Math" w:eastAsia="宋体"/>
                        <w:sz w:val="22"/>
                      </w:rPr>
                    </m:ctrlPr>
                  </m:sub>
                </m:sSub>
                <m:r>
                  <m:rPr/>
                  <w:rPr>
                    <w:rFonts w:hint="default" w:ascii="Cambria Math" w:hAnsi="Cambria Math" w:eastAsia="宋体"/>
                    <w:sz w:val="22"/>
                  </w:rPr>
                  <m:t>,</m:t>
                </m:r>
                <m:sSub>
                  <m:sSubPr>
                    <m:ctrlPr>
                      <w:rPr>
                        <w:rFonts w:hint="default" w:ascii="Cambria Math" w:hAnsi="Cambria Math" w:eastAsia="宋体"/>
                        <w:sz w:val="22"/>
                      </w:rPr>
                    </m:ctrlPr>
                  </m:sSubPr>
                  <m:e>
                    <m:acc>
                      <m:accPr>
                        <m:ctrlPr>
                          <w:rPr>
                            <w:rFonts w:hint="default" w:ascii="Cambria Math" w:hAnsi="Cambria Math" w:eastAsia="宋体"/>
                            <w:sz w:val="22"/>
                          </w:rPr>
                        </m:ctrlPr>
                      </m:accPr>
                      <m:e>
                        <m:r>
                          <m:rPr/>
                          <w:rPr>
                            <w:rFonts w:hint="default" w:ascii="Cambria Math" w:hAnsi="Cambria Math" w:eastAsia="宋体"/>
                            <w:sz w:val="22"/>
                          </w:rPr>
                          <m:t>y</m:t>
                        </m:r>
                        <m:ctrlPr>
                          <w:rPr>
                            <w:rFonts w:ascii="Cambria Math" w:hAnsi="Cambria Math" w:eastAsia="宋体"/>
                            <w:sz w:val="22"/>
                          </w:rPr>
                        </m:ctrlPr>
                      </m:e>
                    </m:acc>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nary>
                  <m:naryPr>
                    <m:chr m:val="∑"/>
                    <m:limLoc m:val="undOvr"/>
                    <m:ctrlPr>
                      <w:rPr>
                        <w:rFonts w:hint="default" w:ascii="Cambria Math" w:hAnsi="Cambria Math" w:eastAsia="宋体"/>
                        <w:sz w:val="22"/>
                      </w:rPr>
                    </m:ctrlPr>
                  </m:naryPr>
                  <m:sub>
                    <m:r>
                      <m:rPr/>
                      <w:rPr>
                        <w:rFonts w:hint="default" w:ascii="Cambria Math" w:hAnsi="Cambria Math" w:eastAsia="宋体"/>
                        <w:sz w:val="22"/>
                      </w:rPr>
                      <m:t>k=1</m:t>
                    </m:r>
                    <m:ctrlPr>
                      <w:rPr>
                        <w:rFonts w:hint="default" w:ascii="Cambria Math" w:hAnsi="Cambria Math" w:eastAsia="宋体"/>
                        <w:sz w:val="22"/>
                      </w:rPr>
                    </m:ctrlPr>
                  </m:sub>
                  <m:sup>
                    <m:r>
                      <m:rPr/>
                      <w:rPr>
                        <w:rFonts w:hint="default" w:ascii="Cambria Math" w:hAnsi="Cambria Math" w:eastAsia="宋体"/>
                        <w:sz w:val="22"/>
                      </w:rPr>
                      <m:t>K</m:t>
                    </m:r>
                    <m:ctrlPr>
                      <w:rPr>
                        <w:rFonts w:hint="default" w:ascii="Cambria Math" w:hAnsi="Cambria Math" w:eastAsia="宋体"/>
                        <w:sz w:val="22"/>
                      </w:rPr>
                    </m:ctrlPr>
                  </m:sup>
                  <m:e>
                    <m:r>
                      <m:rPr/>
                      <w:rPr>
                        <w:rFonts w:hint="default" w:ascii="Cambria Math" w:hAnsi="Cambria Math" w:eastAsia="宋体"/>
                        <w:sz w:val="22"/>
                      </w:rPr>
                      <m:t>Ω</m:t>
                    </m:r>
                    <m:ctrlPr>
                      <w:rPr>
                        <w:rFonts w:hint="default" w:ascii="Cambria Math" w:hAnsi="Cambria Math" w:eastAsia="宋体"/>
                        <w:sz w:val="22"/>
                      </w:rPr>
                    </m:ctrlPr>
                  </m:e>
                </m:nary>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f</m:t>
                    </m:r>
                    <m:ctrlPr>
                      <w:rPr>
                        <w:rFonts w:hint="default" w:ascii="Cambria Math" w:hAnsi="Cambria Math" w:eastAsia="宋体"/>
                        <w:sz w:val="22"/>
                      </w:rPr>
                    </m:ctrlPr>
                  </m:e>
                  <m:sub>
                    <m:r>
                      <m:rPr/>
                      <w:rPr>
                        <w:rFonts w:hint="default" w:ascii="Cambria Math" w:hAnsi="Cambria Math" w:eastAsia="宋体"/>
                        <w:sz w:val="22"/>
                      </w:rPr>
                      <m:t>k</m:t>
                    </m:r>
                    <m:ctrlPr>
                      <w:rPr>
                        <w:rFonts w:hint="default" w:ascii="Cambria Math" w:hAnsi="Cambria Math" w:eastAsia="宋体"/>
                        <w:sz w:val="22"/>
                      </w:rPr>
                    </m:ctrlPr>
                  </m:sub>
                </m:sSub>
                <m:r>
                  <m:rPr/>
                  <w:rPr>
                    <w:rFonts w:hint="default" w:ascii="Cambria Math" w:hAnsi="Cambria Math" w:eastAsia="宋体"/>
                    <w:sz w:val="22"/>
                  </w:rPr>
                  <m:t>)</m:t>
                </m:r>
              </m:oMath>
            </m:oMathPara>
          </w:p>
          <w:p w14:paraId="50B1F5B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其中，</w:t>
            </w:r>
            <m:oMath>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w:r>
              <w:rPr>
                <w:rFonts w:hint="default" w:ascii="Times New Roman" w:hAnsi="Times New Roman" w:eastAsia="宋体" w:cs="Times New Roman"/>
                <w:b w:val="0"/>
                <w:i w:val="0"/>
                <w:sz w:val="24"/>
              </w:rPr>
              <w:t xml:space="preserve"> 用于衡量预测值与真实值之间的误差；</w:t>
            </w:r>
            <m:oMath>
              <m:r>
                <m:rPr/>
                <w:rPr>
                  <w:rFonts w:hint="default" w:ascii="Cambria Math" w:hAnsi="Cambria Math" w:eastAsia="宋体"/>
                  <w:sz w:val="24"/>
                </w:rPr>
                <m:t>Ω(</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default" w:ascii="Times New Roman" w:hAnsi="Times New Roman" w:eastAsia="宋体" w:cs="Times New Roman"/>
                <w:b w:val="0"/>
                <w:i w:val="0"/>
                <w:sz w:val="24"/>
              </w:rPr>
              <w:t xml:space="preserve"> 是对树复杂度的惩罚项，用于抑制过拟合。XGBoost 的一大特点是采用加法模型逐轮优化，即在第 t 轮迭代时，在已有模型基础上新增一棵树：</w:t>
            </w:r>
          </w:p>
          <w:p w14:paraId="718A25F4">
            <w:pPr>
              <w:spacing w:before="0" w:after="120" w:line="240" w:lineRule="auto"/>
              <w:jc w:val="center"/>
              <w:rPr>
                <w:rFonts w:hint="default" w:ascii="Times New Roman" w:hAnsi="Times New Roman" w:eastAsia="宋体" w:cs="Times New Roman"/>
              </w:rPr>
            </w:pPr>
            <m:oMathPara>
              <m:oMath>
                <m:sSubSup>
                  <m:sSubSupPr>
                    <m:ctrlPr>
                      <w:rPr>
                        <w:rFonts w:hint="default" w:ascii="Cambria Math" w:hAnsi="Cambria Math" w:eastAsia="宋体"/>
                        <w:sz w:val="22"/>
                      </w:rPr>
                    </m:ctrlPr>
                  </m:sSubSupPr>
                  <m:e>
                    <m:acc>
                      <m:accPr>
                        <m:ctrlPr>
                          <w:rPr>
                            <w:rFonts w:hint="default" w:ascii="Cambria Math" w:hAnsi="Cambria Math" w:eastAsia="宋体"/>
                            <w:sz w:val="22"/>
                          </w:rPr>
                        </m:ctrlPr>
                      </m:accPr>
                      <m:e>
                        <m:r>
                          <m:rPr/>
                          <w:rPr>
                            <w:rFonts w:hint="default" w:ascii="Cambria Math" w:hAnsi="Cambria Math" w:eastAsia="宋体"/>
                            <w:sz w:val="22"/>
                          </w:rPr>
                          <m:t>y</m:t>
                        </m:r>
                        <m:ctrlPr>
                          <w:rPr>
                            <w:rFonts w:ascii="Cambria Math" w:hAnsi="Cambria Math" w:eastAsia="宋体"/>
                            <w:sz w:val="22"/>
                          </w:rPr>
                        </m:ctrlPr>
                      </m:e>
                    </m:acc>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up>
                    <m:r>
                      <m:rPr/>
                      <w:rPr>
                        <w:rFonts w:hint="default" w:ascii="Cambria Math" w:hAnsi="Cambria Math" w:eastAsia="宋体"/>
                        <w:sz w:val="22"/>
                      </w:rPr>
                      <m:t>(t)</m:t>
                    </m:r>
                    <m:ctrlPr>
                      <w:rPr>
                        <w:rFonts w:hint="default" w:ascii="Cambria Math" w:hAnsi="Cambria Math" w:eastAsia="宋体"/>
                        <w:sz w:val="22"/>
                      </w:rPr>
                    </m:ctrlPr>
                  </m:sup>
                </m:sSubSup>
                <m:r>
                  <m:rPr/>
                  <w:rPr>
                    <w:rFonts w:hint="default" w:ascii="Cambria Math" w:hAnsi="Cambria Math" w:eastAsia="宋体"/>
                    <w:sz w:val="22"/>
                  </w:rPr>
                  <m:t>=</m:t>
                </m:r>
                <m:sSubSup>
                  <m:sSubSupPr>
                    <m:ctrlPr>
                      <w:rPr>
                        <w:rFonts w:hint="default" w:ascii="Cambria Math" w:hAnsi="Cambria Math" w:eastAsia="宋体"/>
                        <w:sz w:val="22"/>
                      </w:rPr>
                    </m:ctrlPr>
                  </m:sSubSupPr>
                  <m:e>
                    <m:acc>
                      <m:accPr>
                        <m:ctrlPr>
                          <w:rPr>
                            <w:rFonts w:hint="default" w:ascii="Cambria Math" w:hAnsi="Cambria Math" w:eastAsia="宋体"/>
                            <w:sz w:val="22"/>
                          </w:rPr>
                        </m:ctrlPr>
                      </m:accPr>
                      <m:e>
                        <m:r>
                          <m:rPr/>
                          <w:rPr>
                            <w:rFonts w:hint="default" w:ascii="Cambria Math" w:hAnsi="Cambria Math" w:eastAsia="宋体"/>
                            <w:sz w:val="22"/>
                          </w:rPr>
                          <m:t>y</m:t>
                        </m:r>
                        <m:ctrlPr>
                          <w:rPr>
                            <w:rFonts w:ascii="Cambria Math" w:hAnsi="Cambria Math" w:eastAsia="宋体"/>
                            <w:sz w:val="22"/>
                          </w:rPr>
                        </m:ctrlPr>
                      </m:e>
                    </m:acc>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up>
                    <m:r>
                      <m:rPr/>
                      <w:rPr>
                        <w:rFonts w:hint="default" w:ascii="Cambria Math" w:hAnsi="Cambria Math" w:eastAsia="宋体"/>
                        <w:sz w:val="22"/>
                      </w:rPr>
                      <m:t>(t−1)</m:t>
                    </m:r>
                    <m:ctrlPr>
                      <w:rPr>
                        <w:rFonts w:hint="default" w:ascii="Cambria Math" w:hAnsi="Cambria Math" w:eastAsia="宋体"/>
                        <w:sz w:val="22"/>
                      </w:rPr>
                    </m:ctrlPr>
                  </m:sup>
                </m:sSubSup>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f</m:t>
                    </m:r>
                    <m:ctrlPr>
                      <w:rPr>
                        <w:rFonts w:hint="default" w:ascii="Cambria Math" w:hAnsi="Cambria Math" w:eastAsia="宋体"/>
                        <w:sz w:val="22"/>
                      </w:rPr>
                    </m:ctrlPr>
                  </m:e>
                  <m:sub>
                    <m:r>
                      <m:rPr/>
                      <w:rPr>
                        <w:rFonts w:hint="default" w:ascii="Cambria Math" w:hAnsi="Cambria Math" w:eastAsia="宋体"/>
                        <w:sz w:val="22"/>
                      </w:rPr>
                      <m:t>t</m:t>
                    </m:r>
                    <m:ctrlPr>
                      <w:rPr>
                        <w:rFonts w:hint="default" w:ascii="Cambria Math" w:hAnsi="Cambria Math" w:eastAsia="宋体"/>
                        <w:sz w:val="22"/>
                      </w:rPr>
                    </m:ctrlPr>
                  </m:sub>
                </m:sSub>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x</m:t>
                    </m:r>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oMath>
            </m:oMathPara>
          </w:p>
          <w:p w14:paraId="08E98FD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对于二分类问题，最终会将模型输出经过 sigmoid 函数映射为上涨概率：</w:t>
            </w:r>
          </w:p>
          <w:p w14:paraId="7D0875E4">
            <w:pPr>
              <w:spacing w:before="0" w:after="120" w:line="240" w:lineRule="auto"/>
              <w:jc w:val="center"/>
              <w:rPr>
                <w:rFonts w:hint="default" w:ascii="Times New Roman" w:hAnsi="Times New Roman" w:eastAsia="宋体" w:cs="Times New Roman"/>
              </w:rPr>
            </w:pPr>
            <m:oMathPara>
              <m:oMath>
                <m:r>
                  <m:rPr/>
                  <w:rPr>
                    <w:rFonts w:hint="default" w:ascii="Cambria Math" w:hAnsi="Cambria Math" w:eastAsia="宋体"/>
                    <w:sz w:val="22"/>
                  </w:rPr>
                  <m:t>P(</m:t>
                </m:r>
                <m:sSub>
                  <m:sSubPr>
                    <m:ctrlPr>
                      <w:rPr>
                        <w:rFonts w:hint="default" w:ascii="Cambria Math" w:hAnsi="Cambria Math" w:eastAsia="宋体"/>
                        <w:sz w:val="22"/>
                      </w:rPr>
                    </m:ctrlPr>
                  </m:sSubPr>
                  <m:e>
                    <m:r>
                      <m:rPr/>
                      <w:rPr>
                        <w:rFonts w:hint="default" w:ascii="Cambria Math" w:hAnsi="Cambria Math" w:eastAsia="宋体"/>
                        <w:sz w:val="22"/>
                      </w:rPr>
                      <m:t>y</m:t>
                    </m:r>
                    <m:ctrlPr>
                      <w:rPr>
                        <w:rFonts w:ascii="Cambria Math" w:hAnsi="Cambria Math" w:eastAsia="宋体"/>
                        <w:sz w:val="22"/>
                      </w:rPr>
                    </m:ctrlPr>
                  </m:e>
                  <m:sub>
                    <m:r>
                      <m:rPr/>
                      <w:rPr>
                        <w:rFonts w:hint="default" w:ascii="Cambria Math" w:hAnsi="Cambria Math" w:eastAsia="宋体"/>
                        <w:sz w:val="22"/>
                      </w:rPr>
                      <m:t>i</m:t>
                    </m:r>
                    <m:ctrlPr>
                      <w:rPr>
                        <w:rFonts w:ascii="Cambria Math" w:hAnsi="Cambria Math" w:eastAsia="宋体"/>
                        <w:sz w:val="22"/>
                      </w:rPr>
                    </m:ctrlPr>
                  </m:sub>
                </m:sSub>
                <m:r>
                  <m:rPr/>
                  <w:rPr>
                    <w:rFonts w:hint="default" w:ascii="Cambria Math" w:hAnsi="Cambria Math" w:eastAsia="宋体"/>
                    <w:sz w:val="22"/>
                  </w:rPr>
                  <m:t>=1∣</m:t>
                </m:r>
                <m:sSub>
                  <m:sSubPr>
                    <m:ctrlPr>
                      <w:rPr>
                        <w:rFonts w:hint="default" w:ascii="Cambria Math" w:hAnsi="Cambria Math" w:eastAsia="宋体"/>
                        <w:sz w:val="22"/>
                      </w:rPr>
                    </m:ctrlPr>
                  </m:sSubPr>
                  <m:e>
                    <m:r>
                      <m:rPr/>
                      <w:rPr>
                        <w:rFonts w:hint="default" w:ascii="Cambria Math" w:hAnsi="Cambria Math" w:eastAsia="宋体"/>
                        <w:sz w:val="22"/>
                      </w:rPr>
                      <m:t>x</m:t>
                    </m:r>
                    <m:ctrlPr>
                      <w:rPr>
                        <w:rFonts w:ascii="Cambria Math" w:hAnsi="Cambria Math" w:eastAsia="宋体"/>
                        <w:sz w:val="22"/>
                      </w:rPr>
                    </m:ctrlPr>
                  </m:e>
                  <m:sub>
                    <m:r>
                      <m:rPr/>
                      <w:rPr>
                        <w:rFonts w:hint="default" w:ascii="Cambria Math" w:hAnsi="Cambria Math" w:eastAsia="宋体"/>
                        <w:sz w:val="22"/>
                      </w:rPr>
                      <m:t>i</m:t>
                    </m:r>
                    <m:ctrlPr>
                      <w:rPr>
                        <w:rFonts w:ascii="Cambria Math" w:hAnsi="Cambria Math" w:eastAsia="宋体"/>
                        <w:sz w:val="22"/>
                      </w:rPr>
                    </m:ctrlPr>
                  </m:sub>
                </m:sSub>
                <m:r>
                  <m:rPr/>
                  <w:rPr>
                    <w:rFonts w:hint="default" w:ascii="Cambria Math" w:hAnsi="Cambria Math" w:eastAsia="宋体"/>
                    <w:sz w:val="22"/>
                  </w:rPr>
                  <m:t>)=σ(</m:t>
                </m:r>
                <m:sSub>
                  <m:sSubPr>
                    <m:ctrlPr>
                      <w:rPr>
                        <w:rFonts w:hint="default" w:ascii="Cambria Math" w:hAnsi="Cambria Math" w:eastAsia="宋体"/>
                        <w:sz w:val="22"/>
                      </w:rPr>
                    </m:ctrlPr>
                  </m:sSubPr>
                  <m:e>
                    <m:acc>
                      <m:accPr>
                        <m:ctrlPr>
                          <w:rPr>
                            <w:rFonts w:hint="default" w:ascii="Cambria Math" w:hAnsi="Cambria Math" w:eastAsia="宋体"/>
                            <w:sz w:val="22"/>
                          </w:rPr>
                        </m:ctrlPr>
                      </m:accPr>
                      <m:e>
                        <m:r>
                          <m:rPr/>
                          <w:rPr>
                            <w:rFonts w:hint="default" w:ascii="Cambria Math" w:hAnsi="Cambria Math" w:eastAsia="宋体"/>
                            <w:sz w:val="22"/>
                          </w:rPr>
                          <m:t>y</m:t>
                        </m:r>
                        <m:ctrlPr>
                          <w:rPr>
                            <w:rFonts w:ascii="Cambria Math" w:hAnsi="Cambria Math" w:eastAsia="宋体"/>
                            <w:sz w:val="22"/>
                          </w:rPr>
                        </m:ctrlPr>
                      </m:e>
                    </m:acc>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f>
                  <m:fPr>
                    <m:ctrlPr>
                      <w:rPr>
                        <w:rFonts w:hint="default" w:ascii="Cambria Math" w:hAnsi="Cambria Math" w:eastAsia="宋体"/>
                        <w:i/>
                        <w:sz w:val="22"/>
                      </w:rPr>
                    </m:ctrlPr>
                  </m:fPr>
                  <m:num>
                    <m:r>
                      <m:rPr/>
                      <w:rPr>
                        <w:rFonts w:hint="default" w:ascii="Cambria Math" w:hAnsi="Cambria Math" w:eastAsia="宋体"/>
                        <w:sz w:val="22"/>
                      </w:rPr>
                      <m:t>1</m:t>
                    </m:r>
                    <m:ctrlPr>
                      <w:rPr>
                        <w:rFonts w:hint="default" w:ascii="Cambria Math" w:hAnsi="Cambria Math" w:eastAsia="宋体"/>
                        <w:sz w:val="22"/>
                      </w:rPr>
                    </m:ctrlPr>
                  </m:num>
                  <m:den>
                    <m:r>
                      <m:rPr/>
                      <w:rPr>
                        <w:rFonts w:hint="default" w:ascii="Cambria Math" w:hAnsi="Cambria Math" w:eastAsia="宋体"/>
                        <w:sz w:val="22"/>
                      </w:rPr>
                      <m:t>1+</m:t>
                    </m:r>
                    <m:sSup>
                      <m:sSupPr>
                        <m:ctrlPr>
                          <w:rPr>
                            <w:rFonts w:hint="default" w:ascii="Cambria Math" w:hAnsi="Cambria Math" w:eastAsia="宋体"/>
                            <w:sz w:val="22"/>
                          </w:rPr>
                        </m:ctrlPr>
                      </m:sSupPr>
                      <m:e>
                        <m:r>
                          <m:rPr/>
                          <w:rPr>
                            <w:rFonts w:hint="default" w:ascii="Cambria Math" w:hAnsi="Cambria Math" w:eastAsia="宋体"/>
                            <w:sz w:val="22"/>
                          </w:rPr>
                          <m:t>e</m:t>
                        </m:r>
                        <m:ctrlPr>
                          <w:rPr>
                            <w:rFonts w:ascii="Cambria Math" w:hAnsi="Cambria Math" w:eastAsia="宋体"/>
                            <w:sz w:val="22"/>
                          </w:rPr>
                        </m:ctrlPr>
                      </m:e>
                      <m:sup>
                        <m:r>
                          <m:rPr/>
                          <w:rPr>
                            <w:rFonts w:hint="default" w:ascii="Cambria Math" w:hAnsi="Cambria Math" w:eastAsia="宋体"/>
                            <w:sz w:val="22"/>
                          </w:rPr>
                          <m:t>−</m:t>
                        </m:r>
                        <m:sSub>
                          <m:sSubPr>
                            <m:ctrlPr>
                              <w:rPr>
                                <w:rFonts w:hint="default" w:ascii="Cambria Math" w:hAnsi="Cambria Math" w:eastAsia="宋体"/>
                                <w:sz w:val="22"/>
                              </w:rPr>
                            </m:ctrlPr>
                          </m:sSubPr>
                          <m:e>
                            <m:acc>
                              <m:accPr>
                                <m:ctrlPr>
                                  <w:rPr>
                                    <w:rFonts w:hint="default" w:ascii="Cambria Math" w:hAnsi="Cambria Math" w:eastAsia="宋体"/>
                                    <w:sz w:val="22"/>
                                  </w:rPr>
                                </m:ctrlPr>
                              </m:accPr>
                              <m:e>
                                <m:r>
                                  <m:rPr/>
                                  <w:rPr>
                                    <w:rFonts w:hint="default" w:ascii="Cambria Math" w:hAnsi="Cambria Math" w:eastAsia="宋体"/>
                                    <w:sz w:val="22"/>
                                  </w:rPr>
                                  <m:t>y</m:t>
                                </m:r>
                                <m:ctrlPr>
                                  <w:rPr>
                                    <w:rFonts w:ascii="Cambria Math" w:hAnsi="Cambria Math" w:eastAsia="宋体"/>
                                    <w:sz w:val="22"/>
                                  </w:rPr>
                                </m:ctrlPr>
                              </m:e>
                            </m:acc>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ctrlPr>
                          <w:rPr>
                            <w:rFonts w:hint="default" w:ascii="Cambria Math" w:hAnsi="Cambria Math" w:eastAsia="宋体"/>
                            <w:sz w:val="22"/>
                          </w:rPr>
                        </m:ctrlPr>
                      </m:sup>
                    </m:sSup>
                    <m:ctrlPr>
                      <w:rPr>
                        <w:rFonts w:hint="default" w:ascii="Cambria Math" w:hAnsi="Cambria Math" w:eastAsia="宋体"/>
                        <w:sz w:val="22"/>
                      </w:rPr>
                    </m:ctrlPr>
                  </m:den>
                </m:f>
              </m:oMath>
            </m:oMathPara>
          </w:p>
          <w:p w14:paraId="4F73768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因此，XGBoost 可以理解为：不断增加新的树，逐步修正前面模型没有解释好的误差，并通过正则化控制模型复杂度，从而在结构化金融数据上获得较好的预测效果。</w:t>
            </w:r>
          </w:p>
          <w:p w14:paraId="32E2813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XGBoost 适用于本项目的原因包括：</w:t>
            </w:r>
          </w:p>
          <w:p w14:paraId="023072D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本项目特征以结构化表格数据为主，XGBoost 对表格数据表现稳定。</w:t>
            </w:r>
          </w:p>
          <w:p w14:paraId="6610EEB2">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金融数据中的特征关系通常是非线性的，XGBoost 可以捕捉复杂的非线性关系。</w:t>
            </w:r>
          </w:p>
          <w:p w14:paraId="4B2C879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XGBoost 对不同尺度的特征不敏感，适合同时处理收益率、成交量比例、情绪分数等不同类型特征。</w:t>
            </w:r>
          </w:p>
          <w:p w14:paraId="7565614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相比 LSTM、Transformer 等深度学习模型，XGBoost 对样本量要求较低，更适合课程项目中的中小规模数据。</w:t>
            </w:r>
          </w:p>
          <w:p w14:paraId="66A721D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XGBoost 可以输出特征重要性，便于解释模型预测依据。</w:t>
            </w:r>
          </w:p>
          <w:p w14:paraId="2AC3367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本项目没有将 LSTM 或 Transformer 作为主模型，主要原因有三点：第一，当前实验数据虽然覆盖多只股票，但落到单只股票、单个预测周期后，有效样本规模仍然有限；第二，本项目的特征主要是按交易日聚合后的结构化表格特征，而不是高频连续序列；第三，课程设计除了追求结果，还强调实现过程可解释、可复现、便于分析。后续 LSTM 拓展实验的结果也验证了这一判断：在 MU 股票上，LSTM 的 5 折扩展窗口准确率仅为 39.94%，远低于基线 60.06%（详见 4.4.3.2 节）。因此，从数据规模、特征形态、实验证据和课程报告表达的角度看，XGBoost 比深度学习模型更适合作为本项目的主算法。</w:t>
            </w:r>
          </w:p>
          <w:p w14:paraId="1B06C8F4">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3.3 可选算法对比</w:t>
            </w:r>
          </w:p>
          <w:p w14:paraId="767E310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除 XGBoost 外，项目也可以使用其他机器学习算法。几种可选算法对比如下：</w:t>
            </w:r>
          </w:p>
          <w:tbl>
            <w:tblPr>
              <w:tblStyle w:val="5"/>
              <w:tblW w:w="0" w:type="auto"/>
              <w:jc w:val="center"/>
              <w:tblLayout w:type="fixed"/>
              <w:tblCellMar>
                <w:top w:w="0" w:type="dxa"/>
                <w:left w:w="108" w:type="dxa"/>
                <w:bottom w:w="0" w:type="dxa"/>
                <w:right w:w="108" w:type="dxa"/>
              </w:tblCellMar>
            </w:tblPr>
            <w:tblGrid>
              <w:gridCol w:w="2280"/>
              <w:gridCol w:w="2280"/>
              <w:gridCol w:w="2280"/>
              <w:gridCol w:w="2280"/>
            </w:tblGrid>
            <w:tr w14:paraId="0C3DCF02">
              <w:tblPrEx>
                <w:tblCellMar>
                  <w:top w:w="0" w:type="dxa"/>
                  <w:left w:w="108" w:type="dxa"/>
                  <w:bottom w:w="0" w:type="dxa"/>
                  <w:right w:w="108" w:type="dxa"/>
                </w:tblCellMar>
              </w:tblPrEx>
              <w:trPr>
                <w:jc w:val="center"/>
              </w:trPr>
              <w:tc>
                <w:tcPr>
                  <w:tcW w:w="2280" w:type="dxa"/>
                  <w:vAlign w:val="center"/>
                </w:tcPr>
                <w:p w14:paraId="059B2F9D">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算法</w:t>
                  </w:r>
                </w:p>
              </w:tc>
              <w:tc>
                <w:tcPr>
                  <w:tcW w:w="2280" w:type="dxa"/>
                  <w:vAlign w:val="center"/>
                </w:tcPr>
                <w:p w14:paraId="70B81CE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优点</w:t>
                  </w:r>
                </w:p>
              </w:tc>
              <w:tc>
                <w:tcPr>
                  <w:tcW w:w="2280" w:type="dxa"/>
                  <w:vAlign w:val="center"/>
                </w:tcPr>
                <w:p w14:paraId="798411ED">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缺点</w:t>
                  </w:r>
                </w:p>
              </w:tc>
              <w:tc>
                <w:tcPr>
                  <w:tcW w:w="2280" w:type="dxa"/>
                  <w:vAlign w:val="center"/>
                </w:tcPr>
                <w:p w14:paraId="2A3621C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适用性</w:t>
                  </w:r>
                </w:p>
              </w:tc>
            </w:tr>
            <w:tr w14:paraId="00F91015">
              <w:tblPrEx>
                <w:tblCellMar>
                  <w:top w:w="0" w:type="dxa"/>
                  <w:left w:w="108" w:type="dxa"/>
                  <w:bottom w:w="0" w:type="dxa"/>
                  <w:right w:w="108" w:type="dxa"/>
                </w:tblCellMar>
              </w:tblPrEx>
              <w:trPr>
                <w:jc w:val="center"/>
              </w:trPr>
              <w:tc>
                <w:tcPr>
                  <w:tcW w:w="2280" w:type="dxa"/>
                  <w:vAlign w:val="center"/>
                </w:tcPr>
                <w:p w14:paraId="19773B3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Logistic Regression</w:t>
                  </w:r>
                </w:p>
              </w:tc>
              <w:tc>
                <w:tcPr>
                  <w:tcW w:w="2280" w:type="dxa"/>
                  <w:vAlign w:val="center"/>
                </w:tcPr>
                <w:p w14:paraId="1D6CE51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简单、可解释性强</w:t>
                  </w:r>
                </w:p>
              </w:tc>
              <w:tc>
                <w:tcPr>
                  <w:tcW w:w="2280" w:type="dxa"/>
                  <w:vAlign w:val="center"/>
                </w:tcPr>
                <w:p w14:paraId="28CA640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难以表达复杂非线性关系</w:t>
                  </w:r>
                </w:p>
              </w:tc>
              <w:tc>
                <w:tcPr>
                  <w:tcW w:w="2280" w:type="dxa"/>
                  <w:vAlign w:val="center"/>
                </w:tcPr>
                <w:p w14:paraId="12E3E98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适合作为基线模型</w:t>
                  </w:r>
                </w:p>
              </w:tc>
            </w:tr>
            <w:tr w14:paraId="1A4A5585">
              <w:tblPrEx>
                <w:tblCellMar>
                  <w:top w:w="0" w:type="dxa"/>
                  <w:left w:w="108" w:type="dxa"/>
                  <w:bottom w:w="0" w:type="dxa"/>
                  <w:right w:w="108" w:type="dxa"/>
                </w:tblCellMar>
              </w:tblPrEx>
              <w:trPr>
                <w:jc w:val="center"/>
              </w:trPr>
              <w:tc>
                <w:tcPr>
                  <w:tcW w:w="2280" w:type="dxa"/>
                  <w:vAlign w:val="center"/>
                </w:tcPr>
                <w:p w14:paraId="7CE7855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Random Forest</w:t>
                  </w:r>
                </w:p>
              </w:tc>
              <w:tc>
                <w:tcPr>
                  <w:tcW w:w="2280" w:type="dxa"/>
                  <w:vAlign w:val="center"/>
                </w:tcPr>
                <w:p w14:paraId="3B410C0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稳定、抗过拟合能力较强</w:t>
                  </w:r>
                </w:p>
              </w:tc>
              <w:tc>
                <w:tcPr>
                  <w:tcW w:w="2280" w:type="dxa"/>
                  <w:vAlign w:val="center"/>
                </w:tcPr>
                <w:p w14:paraId="268B1B6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对趋势细节的刻画通常不如提升树</w:t>
                  </w:r>
                </w:p>
              </w:tc>
              <w:tc>
                <w:tcPr>
                  <w:tcW w:w="2280" w:type="dxa"/>
                  <w:vAlign w:val="center"/>
                </w:tcPr>
                <w:p w14:paraId="0340EAA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适合作为对照算法</w:t>
                  </w:r>
                </w:p>
              </w:tc>
            </w:tr>
            <w:tr w14:paraId="3B31BC51">
              <w:tblPrEx>
                <w:tblCellMar>
                  <w:top w:w="0" w:type="dxa"/>
                  <w:left w:w="108" w:type="dxa"/>
                  <w:bottom w:w="0" w:type="dxa"/>
                  <w:right w:w="108" w:type="dxa"/>
                </w:tblCellMar>
              </w:tblPrEx>
              <w:trPr>
                <w:jc w:val="center"/>
              </w:trPr>
              <w:tc>
                <w:tcPr>
                  <w:tcW w:w="2280" w:type="dxa"/>
                  <w:vAlign w:val="center"/>
                </w:tcPr>
                <w:p w14:paraId="588B61E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LightGBM</w:t>
                  </w:r>
                </w:p>
              </w:tc>
              <w:tc>
                <w:tcPr>
                  <w:tcW w:w="2280" w:type="dxa"/>
                  <w:vAlign w:val="center"/>
                </w:tcPr>
                <w:p w14:paraId="60BBFD8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训练速度快，适合大规模特征</w:t>
                  </w:r>
                </w:p>
              </w:tc>
              <w:tc>
                <w:tcPr>
                  <w:tcW w:w="2280" w:type="dxa"/>
                  <w:vAlign w:val="center"/>
                </w:tcPr>
                <w:p w14:paraId="60CE82D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小样本下需要注意过拟合</w:t>
                  </w:r>
                </w:p>
              </w:tc>
              <w:tc>
                <w:tcPr>
                  <w:tcW w:w="2280" w:type="dxa"/>
                  <w:vAlign w:val="center"/>
                </w:tcPr>
                <w:p w14:paraId="06F8C9E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可作为 XGBoost 的替代或增强</w:t>
                  </w:r>
                </w:p>
              </w:tc>
            </w:tr>
            <w:tr w14:paraId="765356BB">
              <w:tblPrEx>
                <w:tblCellMar>
                  <w:top w:w="0" w:type="dxa"/>
                  <w:left w:w="108" w:type="dxa"/>
                  <w:bottom w:w="0" w:type="dxa"/>
                  <w:right w:w="108" w:type="dxa"/>
                </w:tblCellMar>
              </w:tblPrEx>
              <w:trPr>
                <w:jc w:val="center"/>
              </w:trPr>
              <w:tc>
                <w:tcPr>
                  <w:tcW w:w="2280" w:type="dxa"/>
                  <w:vAlign w:val="center"/>
                </w:tcPr>
                <w:p w14:paraId="0101E55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SVM</w:t>
                  </w:r>
                </w:p>
              </w:tc>
              <w:tc>
                <w:tcPr>
                  <w:tcW w:w="2280" w:type="dxa"/>
                  <w:vAlign w:val="center"/>
                </w:tcPr>
                <w:p w14:paraId="7C6A775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适合中小规模非线性分类</w:t>
                  </w:r>
                </w:p>
              </w:tc>
              <w:tc>
                <w:tcPr>
                  <w:tcW w:w="2280" w:type="dxa"/>
                  <w:vAlign w:val="center"/>
                </w:tcPr>
                <w:p w14:paraId="0F80B44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对参数和特征缩放敏感</w:t>
                  </w:r>
                </w:p>
              </w:tc>
              <w:tc>
                <w:tcPr>
                  <w:tcW w:w="2280" w:type="dxa"/>
                  <w:vAlign w:val="center"/>
                </w:tcPr>
                <w:p w14:paraId="7713C24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可用于实验对比</w:t>
                  </w:r>
                </w:p>
              </w:tc>
            </w:tr>
            <w:tr w14:paraId="56849323">
              <w:tblPrEx>
                <w:tblCellMar>
                  <w:top w:w="0" w:type="dxa"/>
                  <w:left w:w="108" w:type="dxa"/>
                  <w:bottom w:w="0" w:type="dxa"/>
                  <w:right w:w="108" w:type="dxa"/>
                </w:tblCellMar>
              </w:tblPrEx>
              <w:trPr>
                <w:jc w:val="center"/>
              </w:trPr>
              <w:tc>
                <w:tcPr>
                  <w:tcW w:w="2280" w:type="dxa"/>
                  <w:vAlign w:val="center"/>
                </w:tcPr>
                <w:p w14:paraId="03567E2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LSTM</w:t>
                  </w:r>
                </w:p>
              </w:tc>
              <w:tc>
                <w:tcPr>
                  <w:tcW w:w="2280" w:type="dxa"/>
                  <w:vAlign w:val="center"/>
                </w:tcPr>
                <w:p w14:paraId="488BB2E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适合序列建模</w:t>
                  </w:r>
                </w:p>
              </w:tc>
              <w:tc>
                <w:tcPr>
                  <w:tcW w:w="2280" w:type="dxa"/>
                  <w:vAlign w:val="center"/>
                </w:tcPr>
                <w:p w14:paraId="68A6C81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数据需求较高，训练和解释更复杂</w:t>
                  </w:r>
                </w:p>
              </w:tc>
              <w:tc>
                <w:tcPr>
                  <w:tcW w:w="2280" w:type="dxa"/>
                  <w:vAlign w:val="center"/>
                </w:tcPr>
                <w:p w14:paraId="0FF9017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拓展实验已完成，MU 准确率 39.94%（基线 60.06%），未超越 XGBoost</w:t>
                  </w:r>
                </w:p>
              </w:tc>
            </w:tr>
          </w:tbl>
          <w:p w14:paraId="09C03AC1">
            <w:pPr>
              <w:rPr>
                <w:rFonts w:hint="default" w:ascii="Times New Roman" w:hAnsi="Times New Roman" w:eastAsia="宋体" w:cs="Times New Roman"/>
              </w:rPr>
            </w:pPr>
          </w:p>
          <w:p w14:paraId="4EAC4A9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综合考虑数据规模、特征类型、训练稳定性和报告解释性，本项目选择 XGBoost 作为主模型。后续 4.4.4 节的多模型对比实验进一步验证了该选择：在相同验证框架下，XGBoost 与 LightGBM 的样本外 AUC 差异不超过 0.005，Random Forest 的平均 AUC 仅高 0.003，而 Logistic Regression 在长周期方向预测上显著弱于树模型（AUC 低至 0.39），说明 XGBoost 在当前数据条件下已接近最优水平，且具有特征重要性输出等可解释性优势。</w:t>
            </w:r>
          </w:p>
          <w:p w14:paraId="279948FA">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3.4 特征工程原理</w:t>
            </w:r>
          </w:p>
          <w:p w14:paraId="48C3654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特征工程的目标，是把原始的行情数据和新闻文本转化为能够被机器学习模型直接使用的数值型输入。由于原始数据来源复杂、时间粒度不同、含义也不同，因此不能直接送入 XGBoost 模型，而需要先完成“按交易日对齐、按股票聚合、再做统计和变换”的处理。最终，本项目将每只股票的每一个交易日表示为一行样本，将该日以前已经可以观察到的信息编码为多个特征列，再配合未来 T+1、T+3、T+5 的涨跌标签进行训练。</w:t>
            </w:r>
          </w:p>
          <w:p w14:paraId="027B0CD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从实现上看，项目的特征可以分为四类：基础新闻情绪特征、滚动新闻统计特征、扩展新闻上下文特征，以及价格技术特征。</w:t>
            </w:r>
          </w:p>
          <w:p w14:paraId="0561B88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第一类是基础新闻情绪特征，用来描述某只股票在某一交易日对应的新闻数量、新闻质量和情感方向。项目先将 news_aligned 与 layer1_results 按股票和交易日聚合，得到以下信息：</w:t>
            </w:r>
          </w:p>
          <w:p w14:paraId="2C08E02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当日相关新闻总数 n_articles，用于衡量该股票在当天的信息热度。</w:t>
            </w:r>
          </w:p>
          <w:p w14:paraId="04E93EC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高相关或中相关新闻数量 n_relevant，用于区分“真正和该股票有关”的新闻与噪声新闻。</w:t>
            </w:r>
          </w:p>
          <w:p w14:paraId="7F04237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正面、负面、中性新闻数量，即 n_positive、n_negative、n_neutral。</w:t>
            </w:r>
          </w:p>
          <w:p w14:paraId="6CA26EA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情绪分数 sentiment_score，优先使用 LLM 输出的连续情绪分值；如果旧数据没有连续分值，则退化为正面记为 +1、负面记为 -1、中性记为 0 的平均值。这样做可以兼容不同阶段产生的情绪分析结果。</w:t>
            </w:r>
          </w:p>
          <w:p w14:paraId="26FD099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情绪强度 sentiment_strength，即情绪分值绝对值的平均值，用来刻画新闻情绪到底“强不强”，而不仅仅是“偏正还是偏负”。</w:t>
            </w:r>
          </w:p>
          <w:p w14:paraId="70D2A62B">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正面比例、负面比例和相关新闻比例，即 positive_ratio、negative_ratio、relevance_ratio，用于把不同日期下不同新闻总量的样本拉到可比较尺度。</w:t>
            </w:r>
          </w:p>
          <w:p w14:paraId="6343008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7. 是否有新闻 has_news，用于区分“当天没有新闻”与“当天新闻情绪恰好接近 0”这两种不同情况。</w:t>
            </w:r>
          </w:p>
          <w:p w14:paraId="3FEBEEB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第二类是滚动新闻统计特征，用来反映新闻情绪在时间上的持续性、累积性和变化趋势。金融市场中，单条新闻的作用通常不会只停留在当天，因此项目在基础新闻特征之上进一步构造 3 日、5 日、10 日窗口统计量，包括：</w:t>
            </w:r>
          </w:p>
          <w:p w14:paraId="0E9020D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sentiment_score_3d、sentiment_score_5d、sentiment_score_10d：表示短中期情绪均值，用来刻画市场近期整体偏乐观还是偏悲观。</w:t>
            </w:r>
          </w:p>
          <w:p w14:paraId="5151998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sentiment_strength_3d、sentiment_strength_5d、sentiment_strength_10d：表示不同窗口下的情绪强度均值，用来反映新闻刺激是否持续强烈。</w:t>
            </w:r>
          </w:p>
          <w:p w14:paraId="0990B40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positive_ratio_3d 与 negative_ratio_3d 等比例特征：用于弱化单日偶然性，更关注一段时间内正负面舆情结构是否稳定。</w:t>
            </w:r>
          </w:p>
          <w:p w14:paraId="756C1F0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news_count_3d、news_count_5d、news_count_10d：表示新闻活跃度在短中期内的累计水平。</w:t>
            </w:r>
          </w:p>
          <w:p w14:paraId="2553F3D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sentiment_momentum_3d：定义为 3 日平均情绪减去 10 日平均情绪，用于衡量情绪是在边际改善还是边际转弱。</w:t>
            </w:r>
          </w:p>
          <w:p w14:paraId="049B8B7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strength_momentum_3d：定义为 3 日平均情绪强度减去 10 日平均情绪强度，用于捕捉“舆情正在快速升温还是逐步降温”。</w:t>
            </w:r>
          </w:p>
          <w:p w14:paraId="0BBA056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第三类是扩展新闻上下文特征，用来进一步增强模型对新闻内容结构和行业联动的理解，而不只停留在简单的正负面计数上。当前实现中主要包含两部分：</w:t>
            </w:r>
          </w:p>
          <w:p w14:paraId="798DE22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事件类别特征。项目根据 LLM 输出的 event_category，统计财报、产品、监管、宏观、分析师、管理层、行业和其他类型新闻在当天的数量，如 earnings_count、product_count、regulatory_count 等，并进一步构造 earnings_sentiment 和 product_sentiment。这类特征的意义在于，不同类型的新闻对股价的影响机制并不相同，例如财报类新闻通常更直接影响盈利预期，而监管类新闻往往更容易带来风险溢价变化。</w:t>
            </w:r>
          </w:p>
          <w:p w14:paraId="4E33C03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行业联动特征。项目根据预设的行业或主题映射，统计同一板块其他股票在同一交易日的新闻数量和情绪均值，如 sector_articles、sector_sentiment、sector_positive_count、sector_negative_count。这样做的原因是，个股即使当天没有明显新闻，也可能受到同板块龙头或同行公司的新闻冲击影响，例如半导体板块中 NVDA、AMD、MU 等股票的舆情往往存在联动。</w:t>
            </w:r>
          </w:p>
          <w:p w14:paraId="1CA1B08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第四类是价格技术特征，用来描述股票本身在历史价格和成交量上的运行状态。与新闻特征相比，这部分特征主要来自 ohlc 日线数据，具体包括：</w:t>
            </w:r>
          </w:p>
          <w:p w14:paraId="5569F91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历史收益率特征 ret_1d、ret_3d、ret_5d、ret_10d，反映短期和中期价格趋势。</w:t>
            </w:r>
          </w:p>
          <w:p w14:paraId="3151327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波动率特征 volatility_5d、volatility_10d，用来衡量近期价格不确定性和风险水平。</w:t>
            </w:r>
          </w:p>
          <w:p w14:paraId="5EE841D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成交量比例 volume_ratio_5d，即前一日成交量与过去 5 日平均成交量之比，用于反映量能是否异常放大。</w:t>
            </w:r>
          </w:p>
          <w:p w14:paraId="59BC1B9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跳空幅度 gap，描述开盘价相对于前一交易日收盘价的偏离程度，用于捕捉隔夜信息冲击。</w:t>
            </w:r>
          </w:p>
          <w:p w14:paraId="0F4C0C3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均线位置特征 ma5_vs_ma20，表示 MA5 相对于 MA20 的偏离程度，用于判断短中期趋势是否偏强。</w:t>
            </w:r>
          </w:p>
          <w:p w14:paraId="3B90B1B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相对强弱指标 rsi_14，用于衡量近期涨跌动能是否处于超买或超卖区间。</w:t>
            </w:r>
          </w:p>
          <w:p w14:paraId="40D9E65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7. 星期几特征 day_of_week，用于刻画可能存在的交易日历效应。</w:t>
            </w:r>
          </w:p>
          <w:p w14:paraId="3F93DBE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在特征构造过程中，本项目特别重视避免前视偏差。对于价格收益率、波动率、成交量比例、均线、RSI 等技术指标，代码中普遍使用 shift(1) 处理，即第 N 个交易日的特征只允许使用第 N-1 日及更早的数据，不能把第 N 日收盘后才知道的信息提前泄露给模型。对于标签构造，则使用未来收盘价生成 target_t1、target_t3、target_t5 等目标变量，使特征和标签在时间上严格分离。新闻特征方面，项目先完成新闻发布时间到交易日的对齐，再按交易日聚合，保证模型输入的是该交易日理论上已经可获得的信息，而不是未来文章或未来收益。文本 SVD 特征的时序拟合：backend/ml/features_v2.py 中的 TextSvdFeatureTransformer 类支持将 TF-IDF 词汇表构建和 SVD 降维拟合限制在训练窗口内，测试窗口只做 transform，不泄露测试期词汇分布。该机制已接入 experiment.py 的 v2_full 文本特征实验路径，由 backend/ml/walk_forward.py 的 transformer_factory 回调在每折扩展窗口中重新拟合；不启用文本特征的主训练路径仍使用基础数值特征。综合来看，本项目的特征工程并不是简单地“把新闻条数和价格数据拼在一起”，而是通过新闻情绪量化、滚动统计、事件类别拆分、板块联动建模以及技术指标提取，将原始数据转化为能够同时反映信息面、情绪面和价格面的结构化特征集合。这些特征共同构成 XGBoost 模型的输入，从而支持后续的涨跌预测和策略回测。</w:t>
            </w:r>
          </w:p>
          <w:p w14:paraId="53B53120">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3.5 交易信号生成逻辑</w:t>
            </w:r>
          </w:p>
          <w:p w14:paraId="4C122B1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模型输出未来上涨的概率 prob_up。当 prob_up 大于等于设定阈值时，策略生成做多信号；当 prob_up 低于阈值时，策略生成空仓信号。本项目的回测采用日频 close-to-close 简化假设：第 N 个交易日收盘后形成的信号，用于决定第 N 日到第 N+1 日这一段的持仓状态，并在持仓切换时扣除手续费。</w:t>
            </w:r>
          </w:p>
          <w:p w14:paraId="38E1709E">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具体开平仓规则如下：</w:t>
            </w:r>
          </w:p>
          <w:p w14:paraId="420838A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进入持仓：前一交易日信号满足 prob_up &gt;= 阈值 且此前为空仓时，下一段 close-to-close 收益按持仓计算，并扣除一次手续费（费率 0.1%）。</w:t>
            </w:r>
          </w:p>
          <w:p w14:paraId="285FB35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继续持仓：若前一交易日信号仍满足 prob_up &gt;= 阈值，则继续保持多头，不重复扣费。</w:t>
            </w:r>
          </w:p>
          <w:p w14:paraId="13215A18">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退出持仓：前一交易日信号变为 prob_up &lt; 阈值 且此前有持仓时，切换为空仓，并扣除一次手续费。</w:t>
            </w:r>
          </w:p>
          <w:p w14:paraId="43A97C0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空仓观望：若前一交易日信号为 prob_up &lt; 阈值 且此前为空仓，则保持空仓，资金不承担股价波动。</w:t>
            </w:r>
          </w:p>
          <w:p w14:paraId="3D9BECD2">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当前最佳策略使用：</w:t>
            </w:r>
          </w:p>
          <w:tbl>
            <w:tblPr>
              <w:tblStyle w:val="5"/>
              <w:tblW w:w="0" w:type="auto"/>
              <w:jc w:val="center"/>
              <w:tblLayout w:type="fixed"/>
              <w:tblCellMar>
                <w:top w:w="0" w:type="dxa"/>
                <w:left w:w="108" w:type="dxa"/>
                <w:bottom w:w="0" w:type="dxa"/>
                <w:right w:w="108" w:type="dxa"/>
              </w:tblCellMar>
            </w:tblPr>
            <w:tblGrid>
              <w:gridCol w:w="4561"/>
              <w:gridCol w:w="4561"/>
            </w:tblGrid>
            <w:tr w14:paraId="3E60DBCA">
              <w:tblPrEx>
                <w:tblCellMar>
                  <w:top w:w="0" w:type="dxa"/>
                  <w:left w:w="108" w:type="dxa"/>
                  <w:bottom w:w="0" w:type="dxa"/>
                  <w:right w:w="108" w:type="dxa"/>
                </w:tblCellMar>
              </w:tblPrEx>
              <w:trPr>
                <w:jc w:val="center"/>
              </w:trPr>
              <w:tc>
                <w:tcPr>
                  <w:tcW w:w="4561" w:type="dxa"/>
                  <w:vAlign w:val="center"/>
                </w:tcPr>
                <w:p w14:paraId="60D491AE">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项目</w:t>
                  </w:r>
                </w:p>
              </w:tc>
              <w:tc>
                <w:tcPr>
                  <w:tcW w:w="4561" w:type="dxa"/>
                  <w:vAlign w:val="center"/>
                </w:tcPr>
                <w:p w14:paraId="7D0EAA6D">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设置</w:t>
                  </w:r>
                </w:p>
              </w:tc>
            </w:tr>
            <w:tr w14:paraId="33859DD8">
              <w:tblPrEx>
                <w:tblCellMar>
                  <w:top w:w="0" w:type="dxa"/>
                  <w:left w:w="108" w:type="dxa"/>
                  <w:bottom w:w="0" w:type="dxa"/>
                  <w:right w:w="108" w:type="dxa"/>
                </w:tblCellMar>
              </w:tblPrEx>
              <w:trPr>
                <w:jc w:val="center"/>
              </w:trPr>
              <w:tc>
                <w:tcPr>
                  <w:tcW w:w="4561" w:type="dxa"/>
                  <w:vAlign w:val="center"/>
                </w:tcPr>
                <w:p w14:paraId="6C0BC86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股票</w:t>
                  </w:r>
                </w:p>
              </w:tc>
              <w:tc>
                <w:tcPr>
                  <w:tcW w:w="4561" w:type="dxa"/>
                  <w:vAlign w:val="center"/>
                </w:tcPr>
                <w:p w14:paraId="08CFC83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MU</w:t>
                  </w:r>
                </w:p>
              </w:tc>
            </w:tr>
            <w:tr w14:paraId="1A0D7E9B">
              <w:tblPrEx>
                <w:tblCellMar>
                  <w:top w:w="0" w:type="dxa"/>
                  <w:left w:w="108" w:type="dxa"/>
                  <w:bottom w:w="0" w:type="dxa"/>
                  <w:right w:w="108" w:type="dxa"/>
                </w:tblCellMar>
              </w:tblPrEx>
              <w:trPr>
                <w:jc w:val="center"/>
              </w:trPr>
              <w:tc>
                <w:tcPr>
                  <w:tcW w:w="4561" w:type="dxa"/>
                  <w:vAlign w:val="center"/>
                </w:tcPr>
                <w:p w14:paraId="21E3D65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预测周期</w:t>
                  </w:r>
                </w:p>
              </w:tc>
              <w:tc>
                <w:tcPr>
                  <w:tcW w:w="4561" w:type="dxa"/>
                  <w:vAlign w:val="center"/>
                </w:tcPr>
                <w:p w14:paraId="1BB5518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T+5</w:t>
                  </w:r>
                </w:p>
              </w:tc>
            </w:tr>
            <w:tr w14:paraId="5058DADD">
              <w:tblPrEx>
                <w:tblCellMar>
                  <w:top w:w="0" w:type="dxa"/>
                  <w:left w:w="108" w:type="dxa"/>
                  <w:bottom w:w="0" w:type="dxa"/>
                  <w:right w:w="108" w:type="dxa"/>
                </w:tblCellMar>
              </w:tblPrEx>
              <w:trPr>
                <w:jc w:val="center"/>
              </w:trPr>
              <w:tc>
                <w:tcPr>
                  <w:tcW w:w="4561" w:type="dxa"/>
                  <w:vAlign w:val="center"/>
                </w:tcPr>
                <w:p w14:paraId="405A6C9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买入阈值</w:t>
                  </w:r>
                </w:p>
              </w:tc>
              <w:tc>
                <w:tcPr>
                  <w:tcW w:w="4561" w:type="dxa"/>
                  <w:vAlign w:val="center"/>
                </w:tcPr>
                <w:p w14:paraId="44C6110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w:t>
                  </w:r>
                </w:p>
              </w:tc>
            </w:tr>
            <w:tr w14:paraId="760B3E49">
              <w:tblPrEx>
                <w:tblCellMar>
                  <w:top w:w="0" w:type="dxa"/>
                  <w:left w:w="108" w:type="dxa"/>
                  <w:bottom w:w="0" w:type="dxa"/>
                  <w:right w:w="108" w:type="dxa"/>
                </w:tblCellMar>
              </w:tblPrEx>
              <w:trPr>
                <w:jc w:val="center"/>
              </w:trPr>
              <w:tc>
                <w:tcPr>
                  <w:tcW w:w="4561" w:type="dxa"/>
                  <w:vAlign w:val="center"/>
                </w:tcPr>
                <w:p w14:paraId="78731DF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手续费率</w:t>
                  </w:r>
                </w:p>
              </w:tc>
              <w:tc>
                <w:tcPr>
                  <w:tcW w:w="4561" w:type="dxa"/>
                  <w:vAlign w:val="center"/>
                </w:tcPr>
                <w:p w14:paraId="1761F39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0.001</w:t>
                  </w:r>
                </w:p>
              </w:tc>
            </w:tr>
            <w:tr w14:paraId="607A45AC">
              <w:tblPrEx>
                <w:tblCellMar>
                  <w:top w:w="0" w:type="dxa"/>
                  <w:left w:w="108" w:type="dxa"/>
                  <w:bottom w:w="0" w:type="dxa"/>
                  <w:right w:w="108" w:type="dxa"/>
                </w:tblCellMar>
              </w:tblPrEx>
              <w:trPr>
                <w:jc w:val="center"/>
              </w:trPr>
              <w:tc>
                <w:tcPr>
                  <w:tcW w:w="4561" w:type="dxa"/>
                  <w:vAlign w:val="center"/>
                </w:tcPr>
                <w:p w14:paraId="53E70FC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交易方式</w:t>
                  </w:r>
                </w:p>
              </w:tc>
              <w:tc>
                <w:tcPr>
                  <w:tcW w:w="4561" w:type="dxa"/>
                  <w:vAlign w:val="center"/>
                </w:tcPr>
                <w:p w14:paraId="325B059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多头 / 空仓（不做卖空）</w:t>
                  </w:r>
                </w:p>
              </w:tc>
            </w:tr>
          </w:tbl>
          <w:p w14:paraId="4940A99C">
            <w:pPr>
              <w:rPr>
                <w:rFonts w:hint="default" w:ascii="Times New Roman" w:hAnsi="Times New Roman" w:eastAsia="宋体" w:cs="Times New Roman"/>
              </w:rPr>
            </w:pPr>
          </w:p>
          <w:p w14:paraId="57735AD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该策略不做卖空，只在模型认为未来上涨概率较高时持有股票，否则保持空仓。策略持仓周期不固定，完全由模型每日预测信号驱动。</w:t>
            </w:r>
          </w:p>
          <w:p w14:paraId="5D83E596">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3.6 回测指标计算方法</w:t>
            </w:r>
          </w:p>
          <w:p w14:paraId="311AD03D">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本项目使用以下指标评价策略效果：</w:t>
            </w:r>
          </w:p>
          <w:p w14:paraId="259AD838">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累计收益率：回测结束时策略净值相对初始净值的增长比例。</w:t>
            </w:r>
          </w:p>
          <w:p w14:paraId="66AA9C6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年化收益率：根据交易日数量将累计收益折算为年化收益。</w:t>
            </w:r>
          </w:p>
          <w:p w14:paraId="0863375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最大回撤：策略净值从历史高点到后续低点的最大跌幅。</w:t>
            </w:r>
          </w:p>
          <w:p w14:paraId="2C86C1E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胜率：盈利交易次数占总交易次数的比例。</w:t>
            </w:r>
          </w:p>
          <w:p w14:paraId="78AE8B68">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交易次数：回测期间完整买入卖出交易的次数。</w:t>
            </w:r>
          </w:p>
          <w:p w14:paraId="0135161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买入持有收益率：作为基准，用于比较策略与简单持有股票的表现。</w:t>
            </w:r>
          </w:p>
          <w:p w14:paraId="29147FD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最大回撤的计算方式为：</w:t>
            </w:r>
          </w:p>
          <w:p w14:paraId="654C3844">
            <w:pPr>
              <w:spacing w:before="0" w:after="120" w:line="240" w:lineRule="auto"/>
              <w:ind w:left="420"/>
              <w:rPr>
                <w:rFonts w:hint="default" w:ascii="Times New Roman" w:hAnsi="Times New Roman" w:eastAsia="宋体" w:cs="Times New Roman"/>
              </w:rPr>
            </w:pPr>
            <m:oMathPara>
              <m:oMath>
                <m:r>
                  <m:rPr>
                    <m:sty m:val="p"/>
                  </m:rPr>
                  <w:rPr>
                    <w:rFonts w:hint="default" w:ascii="Cambria Math" w:hAnsi="Cambria Math" w:eastAsia="宋体"/>
                    <w:sz w:val="20"/>
                  </w:rPr>
                  <m:t>最大回撤</m:t>
                </m:r>
                <m:r>
                  <m:rPr/>
                  <w:rPr>
                    <w:rFonts w:hint="default" w:ascii="Cambria Math" w:hAnsi="Cambria Math" w:eastAsia="宋体"/>
                    <w:sz w:val="20"/>
                  </w:rPr>
                  <m:t>=</m:t>
                </m:r>
                <m:r>
                  <m:rPr>
                    <m:sty m:val="p"/>
                  </m:rPr>
                  <w:rPr>
                    <w:rFonts w:hint="default" w:ascii="Cambria Math" w:hAnsi="Cambria Math" w:eastAsia="宋体"/>
                    <w:sz w:val="20"/>
                  </w:rPr>
                  <m:t>max</m:t>
                </m:r>
                <m:r>
                  <m:rPr/>
                  <w:rPr>
                    <w:rFonts w:hint="default" w:ascii="Cambria Math" w:hAnsi="Cambria Math" w:eastAsia="宋体"/>
                    <w:sz w:val="20"/>
                  </w:rPr>
                  <m:t>((</m:t>
                </m:r>
                <m:r>
                  <m:rPr>
                    <m:sty m:val="p"/>
                  </m:rPr>
                  <w:rPr>
                    <w:rFonts w:hint="default" w:ascii="Cambria Math" w:hAnsi="Cambria Math" w:eastAsia="宋体"/>
                    <w:sz w:val="20"/>
                  </w:rPr>
                  <m:t>历史最高净值</m:t>
                </m:r>
                <m:r>
                  <m:rPr/>
                  <w:rPr>
                    <w:rFonts w:hint="default" w:ascii="Cambria Math" w:hAnsi="Cambria Math" w:eastAsia="宋体"/>
                    <w:sz w:val="20"/>
                  </w:rPr>
                  <m:t>−</m:t>
                </m:r>
                <m:r>
                  <m:rPr>
                    <m:sty m:val="p"/>
                  </m:rPr>
                  <w:rPr>
                    <w:rFonts w:hint="default" w:ascii="Cambria Math" w:hAnsi="Cambria Math" w:eastAsia="宋体"/>
                    <w:sz w:val="20"/>
                  </w:rPr>
                  <m:t>当前净值</m:t>
                </m:r>
                <m:r>
                  <m:rPr/>
                  <w:rPr>
                    <w:rFonts w:hint="default" w:ascii="Cambria Math" w:hAnsi="Cambria Math" w:eastAsia="宋体"/>
                    <w:sz w:val="20"/>
                  </w:rPr>
                  <m:t>)/</m:t>
                </m:r>
                <m:r>
                  <m:rPr>
                    <m:sty m:val="p"/>
                  </m:rPr>
                  <w:rPr>
                    <w:rFonts w:hint="default" w:ascii="Cambria Math" w:hAnsi="Cambria Math" w:eastAsia="宋体"/>
                    <w:sz w:val="20"/>
                  </w:rPr>
                  <m:t>历史最高净值</m:t>
                </m:r>
                <m:r>
                  <m:rPr/>
                  <w:rPr>
                    <w:rFonts w:hint="default" w:ascii="Cambria Math" w:hAnsi="Cambria Math" w:eastAsia="宋体"/>
                    <w:sz w:val="20"/>
                  </w:rPr>
                  <m:t>)</m:t>
                </m:r>
              </m:oMath>
            </m:oMathPara>
          </w:p>
          <w:p w14:paraId="71719566">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年化收益率的计算方式为：</w:t>
            </w:r>
          </w:p>
          <w:p w14:paraId="2C0CFE6D">
            <w:pPr>
              <w:spacing w:before="0" w:after="120" w:line="240" w:lineRule="auto"/>
              <w:ind w:left="420"/>
              <w:rPr>
                <w:rFonts w:hint="default" w:ascii="Times New Roman" w:hAnsi="Times New Roman" w:eastAsia="宋体" w:cs="Times New Roman"/>
              </w:rPr>
            </w:pPr>
            <m:oMathPara>
              <m:oMath>
                <m:r>
                  <m:rPr>
                    <m:sty m:val="p"/>
                  </m:rPr>
                  <w:rPr>
                    <w:rFonts w:hint="default" w:ascii="Cambria Math" w:hAnsi="Cambria Math" w:eastAsia="宋体"/>
                    <w:sz w:val="20"/>
                  </w:rPr>
                  <m:t>年化收益率</m:t>
                </m:r>
                <m:r>
                  <m:rPr/>
                  <w:rPr>
                    <w:rFonts w:hint="default" w:ascii="Cambria Math" w:hAnsi="Cambria Math" w:eastAsia="宋体"/>
                    <w:sz w:val="20"/>
                  </w:rPr>
                  <m:t>=(</m:t>
                </m:r>
                <m:r>
                  <m:rPr>
                    <m:sty m:val="p"/>
                  </m:rPr>
                  <w:rPr>
                    <w:rFonts w:hint="default" w:ascii="Cambria Math" w:hAnsi="Cambria Math" w:eastAsia="宋体"/>
                    <w:sz w:val="20"/>
                  </w:rPr>
                  <m:t>期末净值</m:t>
                </m:r>
                <m:r>
                  <m:rPr/>
                  <w:rPr>
                    <w:rFonts w:hint="default" w:ascii="Cambria Math" w:hAnsi="Cambria Math" w:eastAsia="宋体"/>
                    <w:sz w:val="20"/>
                  </w:rPr>
                  <m:t>/</m:t>
                </m:r>
                <m:r>
                  <m:rPr>
                    <m:sty m:val="p"/>
                  </m:rPr>
                  <w:rPr>
                    <w:rFonts w:hint="default" w:ascii="Cambria Math" w:hAnsi="Cambria Math" w:eastAsia="宋体"/>
                    <w:sz w:val="20"/>
                  </w:rPr>
                  <m:t>期初净值</m:t>
                </m:r>
                <m:sSup>
                  <m:sSupPr>
                    <m:ctrlPr>
                      <w:rPr>
                        <w:rFonts w:hint="default" w:ascii="Cambria Math" w:hAnsi="Cambria Math" w:eastAsia="宋体"/>
                        <w:sz w:val="20"/>
                      </w:rPr>
                    </m:ctrlPr>
                  </m:sSupPr>
                  <m:e>
                    <m:r>
                      <m:rPr/>
                      <w:rPr>
                        <w:rFonts w:hint="default" w:ascii="Cambria Math" w:hAnsi="Cambria Math" w:eastAsia="宋体"/>
                        <w:sz w:val="20"/>
                      </w:rPr>
                      <m:t>)</m:t>
                    </m:r>
                    <m:ctrlPr>
                      <w:rPr>
                        <w:rFonts w:ascii="Cambria Math" w:hAnsi="Cambria Math" w:eastAsia="宋体"/>
                        <w:sz w:val="20"/>
                      </w:rPr>
                    </m:ctrlPr>
                  </m:e>
                  <m:sup>
                    <m:r>
                      <m:rPr/>
                      <w:rPr>
                        <w:rFonts w:hint="default" w:ascii="Cambria Math" w:hAnsi="Cambria Math" w:eastAsia="宋体"/>
                        <w:sz w:val="20"/>
                      </w:rPr>
                      <m:t>(</m:t>
                    </m:r>
                    <m:ctrlPr>
                      <w:rPr>
                        <w:rFonts w:ascii="Cambria Math" w:hAnsi="Cambria Math" w:eastAsia="宋体"/>
                        <w:sz w:val="20"/>
                      </w:rPr>
                    </m:ctrlPr>
                  </m:sup>
                </m:sSup>
                <m:r>
                  <m:rPr/>
                  <w:rPr>
                    <w:rFonts w:hint="default" w:ascii="Cambria Math" w:hAnsi="Cambria Math" w:eastAsia="宋体"/>
                    <w:sz w:val="20"/>
                  </w:rPr>
                  <m:t>252/</m:t>
                </m:r>
                <m:r>
                  <m:rPr>
                    <m:sty m:val="p"/>
                  </m:rPr>
                  <w:rPr>
                    <w:rFonts w:hint="default" w:ascii="Cambria Math" w:hAnsi="Cambria Math" w:eastAsia="宋体"/>
                    <w:sz w:val="20"/>
                  </w:rPr>
                  <m:t>交易日数量</m:t>
                </m:r>
                <m:r>
                  <m:rPr/>
                  <w:rPr>
                    <w:rFonts w:hint="default" w:ascii="Cambria Math" w:hAnsi="Cambria Math" w:eastAsia="宋体"/>
                    <w:sz w:val="20"/>
                  </w:rPr>
                  <m:t>)−1</m:t>
                </m:r>
              </m:oMath>
            </m:oMathPara>
          </w:p>
          <w:p w14:paraId="1DBF6A1D">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四、课程设计步骤和结果</w:t>
            </w:r>
          </w:p>
          <w:p w14:paraId="4BDAEFED">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4.1 数据获取</w:t>
            </w:r>
          </w:p>
          <w:p w14:paraId="74F08ED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项目的数据获取模块以 Polygon.io 为主要外部数据源，分别采集股票日频行情和相关新闻数据。行情部分使用日频聚合接口，新闻部分使用新闻检索接口；两类数据在拉取后统一保存到本地 SQLite 数据库，作为后续清洗、对齐、特征构造和模型训练的基础。</w:t>
            </w:r>
          </w:p>
          <w:p w14:paraId="144448F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主要数据获取函数包括：</w:t>
            </w:r>
          </w:p>
          <w:p w14:paraId="45769ABF">
            <w:pPr>
              <w:spacing w:before="0" w:after="120" w:line="24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0"/>
              </w:rPr>
              <w:t>fetch_ohlc(ticker: str, start: str, end: str)</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fetch_news(ticker: str, start: str, end: str)</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search_tickers(query: str, limit: int)</w:t>
            </w:r>
          </w:p>
          <w:p w14:paraId="5971417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为便于后续分层处理和结果复现，项目将原始数据、中间处理结果和最终分析结果分别存入不同数据表。主要表结构如下：</w:t>
            </w:r>
          </w:p>
          <w:tbl>
            <w:tblPr>
              <w:tblStyle w:val="5"/>
              <w:tblW w:w="0" w:type="auto"/>
              <w:jc w:val="center"/>
              <w:tblLayout w:type="fixed"/>
              <w:tblCellMar>
                <w:top w:w="0" w:type="dxa"/>
                <w:left w:w="108" w:type="dxa"/>
                <w:bottom w:w="0" w:type="dxa"/>
                <w:right w:w="108" w:type="dxa"/>
              </w:tblCellMar>
            </w:tblPr>
            <w:tblGrid>
              <w:gridCol w:w="4561"/>
              <w:gridCol w:w="4561"/>
            </w:tblGrid>
            <w:tr w14:paraId="14073654">
              <w:tblPrEx>
                <w:tblCellMar>
                  <w:top w:w="0" w:type="dxa"/>
                  <w:left w:w="108" w:type="dxa"/>
                  <w:bottom w:w="0" w:type="dxa"/>
                  <w:right w:w="108" w:type="dxa"/>
                </w:tblCellMar>
              </w:tblPrEx>
              <w:trPr>
                <w:jc w:val="center"/>
              </w:trPr>
              <w:tc>
                <w:tcPr>
                  <w:tcW w:w="4561" w:type="dxa"/>
                  <w:vAlign w:val="center"/>
                </w:tcPr>
                <w:p w14:paraId="4BF49867">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数据表</w:t>
                  </w:r>
                </w:p>
              </w:tc>
              <w:tc>
                <w:tcPr>
                  <w:tcW w:w="4561" w:type="dxa"/>
                  <w:vAlign w:val="center"/>
                </w:tcPr>
                <w:p w14:paraId="38827637">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作用</w:t>
                  </w:r>
                </w:p>
              </w:tc>
            </w:tr>
            <w:tr w14:paraId="6BB0D887">
              <w:tblPrEx>
                <w:tblCellMar>
                  <w:top w:w="0" w:type="dxa"/>
                  <w:left w:w="108" w:type="dxa"/>
                  <w:bottom w:w="0" w:type="dxa"/>
                  <w:right w:w="108" w:type="dxa"/>
                </w:tblCellMar>
              </w:tblPrEx>
              <w:trPr>
                <w:jc w:val="center"/>
              </w:trPr>
              <w:tc>
                <w:tcPr>
                  <w:tcW w:w="4561" w:type="dxa"/>
                  <w:vAlign w:val="center"/>
                </w:tcPr>
                <w:p w14:paraId="456085B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tickers</w:t>
                  </w:r>
                </w:p>
              </w:tc>
              <w:tc>
                <w:tcPr>
                  <w:tcW w:w="4561" w:type="dxa"/>
                  <w:vAlign w:val="center"/>
                </w:tcPr>
                <w:p w14:paraId="392E216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股票基本信息</w:t>
                  </w:r>
                </w:p>
              </w:tc>
            </w:tr>
            <w:tr w14:paraId="06918E83">
              <w:tblPrEx>
                <w:tblCellMar>
                  <w:top w:w="0" w:type="dxa"/>
                  <w:left w:w="108" w:type="dxa"/>
                  <w:bottom w:w="0" w:type="dxa"/>
                  <w:right w:w="108" w:type="dxa"/>
                </w:tblCellMar>
              </w:tblPrEx>
              <w:trPr>
                <w:jc w:val="center"/>
              </w:trPr>
              <w:tc>
                <w:tcPr>
                  <w:tcW w:w="4561" w:type="dxa"/>
                  <w:vAlign w:val="center"/>
                </w:tcPr>
                <w:p w14:paraId="0F02902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ohlc</w:t>
                  </w:r>
                </w:p>
              </w:tc>
              <w:tc>
                <w:tcPr>
                  <w:tcW w:w="4561" w:type="dxa"/>
                  <w:vAlign w:val="center"/>
                </w:tcPr>
                <w:p w14:paraId="588269A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日频行情数据</w:t>
                  </w:r>
                </w:p>
              </w:tc>
            </w:tr>
            <w:tr w14:paraId="6592C0F9">
              <w:tblPrEx>
                <w:tblCellMar>
                  <w:top w:w="0" w:type="dxa"/>
                  <w:left w:w="108" w:type="dxa"/>
                  <w:bottom w:w="0" w:type="dxa"/>
                  <w:right w:w="108" w:type="dxa"/>
                </w:tblCellMar>
              </w:tblPrEx>
              <w:trPr>
                <w:jc w:val="center"/>
              </w:trPr>
              <w:tc>
                <w:tcPr>
                  <w:tcW w:w="4561" w:type="dxa"/>
                  <w:vAlign w:val="center"/>
                </w:tcPr>
                <w:p w14:paraId="4025A19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news_raw</w:t>
                  </w:r>
                </w:p>
              </w:tc>
              <w:tc>
                <w:tcPr>
                  <w:tcW w:w="4561" w:type="dxa"/>
                  <w:vAlign w:val="center"/>
                </w:tcPr>
                <w:p w14:paraId="65B7557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原始新闻</w:t>
                  </w:r>
                </w:p>
              </w:tc>
            </w:tr>
            <w:tr w14:paraId="672ADDB4">
              <w:tblPrEx>
                <w:tblCellMar>
                  <w:top w:w="0" w:type="dxa"/>
                  <w:left w:w="108" w:type="dxa"/>
                  <w:bottom w:w="0" w:type="dxa"/>
                  <w:right w:w="108" w:type="dxa"/>
                </w:tblCellMar>
              </w:tblPrEx>
              <w:trPr>
                <w:jc w:val="center"/>
              </w:trPr>
              <w:tc>
                <w:tcPr>
                  <w:tcW w:w="4561" w:type="dxa"/>
                  <w:vAlign w:val="center"/>
                </w:tcPr>
                <w:p w14:paraId="004BDEC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news_ticker</w:t>
                  </w:r>
                </w:p>
              </w:tc>
              <w:tc>
                <w:tcPr>
                  <w:tcW w:w="4561" w:type="dxa"/>
                  <w:vAlign w:val="center"/>
                </w:tcPr>
                <w:p w14:paraId="189B80C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新闻和股票关联关系</w:t>
                  </w:r>
                </w:p>
              </w:tc>
            </w:tr>
            <w:tr w14:paraId="14B2619D">
              <w:tblPrEx>
                <w:tblCellMar>
                  <w:top w:w="0" w:type="dxa"/>
                  <w:left w:w="108" w:type="dxa"/>
                  <w:bottom w:w="0" w:type="dxa"/>
                  <w:right w:w="108" w:type="dxa"/>
                </w:tblCellMar>
              </w:tblPrEx>
              <w:trPr>
                <w:jc w:val="center"/>
              </w:trPr>
              <w:tc>
                <w:tcPr>
                  <w:tcW w:w="4561" w:type="dxa"/>
                  <w:vAlign w:val="center"/>
                </w:tcPr>
                <w:p w14:paraId="4DEF375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layer0_results</w:t>
                  </w:r>
                </w:p>
              </w:tc>
              <w:tc>
                <w:tcPr>
                  <w:tcW w:w="4561" w:type="dxa"/>
                  <w:vAlign w:val="center"/>
                </w:tcPr>
                <w:p w14:paraId="79B6AAB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规则过滤结果</w:t>
                  </w:r>
                </w:p>
              </w:tc>
            </w:tr>
            <w:tr w14:paraId="0D949AE2">
              <w:tblPrEx>
                <w:tblCellMar>
                  <w:top w:w="0" w:type="dxa"/>
                  <w:left w:w="108" w:type="dxa"/>
                  <w:bottom w:w="0" w:type="dxa"/>
                  <w:right w:w="108" w:type="dxa"/>
                </w:tblCellMar>
              </w:tblPrEx>
              <w:trPr>
                <w:jc w:val="center"/>
              </w:trPr>
              <w:tc>
                <w:tcPr>
                  <w:tcW w:w="4561" w:type="dxa"/>
                  <w:vAlign w:val="center"/>
                </w:tcPr>
                <w:p w14:paraId="23119D0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layer1_results</w:t>
                  </w:r>
                </w:p>
              </w:tc>
              <w:tc>
                <w:tcPr>
                  <w:tcW w:w="4561" w:type="dxa"/>
                  <w:vAlign w:val="center"/>
                </w:tcPr>
                <w:p w14:paraId="7FAA132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LLM 情绪分析结果</w:t>
                  </w:r>
                </w:p>
              </w:tc>
            </w:tr>
            <w:tr w14:paraId="3B0106A6">
              <w:tblPrEx>
                <w:tblCellMar>
                  <w:top w:w="0" w:type="dxa"/>
                  <w:left w:w="108" w:type="dxa"/>
                  <w:bottom w:w="0" w:type="dxa"/>
                  <w:right w:w="108" w:type="dxa"/>
                </w:tblCellMar>
              </w:tblPrEx>
              <w:trPr>
                <w:jc w:val="center"/>
              </w:trPr>
              <w:tc>
                <w:tcPr>
                  <w:tcW w:w="4561" w:type="dxa"/>
                  <w:vAlign w:val="center"/>
                </w:tcPr>
                <w:p w14:paraId="0B5708D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news_aligned</w:t>
                  </w:r>
                </w:p>
              </w:tc>
              <w:tc>
                <w:tcPr>
                  <w:tcW w:w="4561" w:type="dxa"/>
                  <w:vAlign w:val="center"/>
                </w:tcPr>
                <w:p w14:paraId="694A796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新闻与交易日对齐结果</w:t>
                  </w:r>
                </w:p>
              </w:tc>
            </w:tr>
          </w:tbl>
          <w:p w14:paraId="005BB559">
            <w:pPr>
              <w:rPr>
                <w:rFonts w:hint="default" w:ascii="Times New Roman" w:hAnsi="Times New Roman" w:eastAsia="宋体" w:cs="Times New Roman"/>
              </w:rPr>
            </w:pPr>
          </w:p>
          <w:p w14:paraId="0C7A28A2">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4.2 数据预处理</w:t>
            </w:r>
          </w:p>
          <w:p w14:paraId="40AD796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数据预处理主要包含新闻过滤、情绪分析和交易日对齐三个步骤，其目标是尽可能提高新闻信号质量，并保证文本信息能够以交易日粒度与行情数据对应。</w:t>
            </w:r>
          </w:p>
          <w:p w14:paraId="132C7D2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首先，项目使用 Layer 0 规则过滤明显无关或质量较低的新闻。该步骤主要承担“降噪”作用，典型过滤规则包括：</w:t>
            </w:r>
          </w:p>
          <w:p w14:paraId="25790F1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空摘要过滤。</w:t>
            </w:r>
          </w:p>
          <w:p w14:paraId="3238128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摘要长度过短过滤。</w:t>
            </w:r>
          </w:p>
          <w:p w14:paraId="5985F8D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涉及股票过多且目标股票不在标题中的市场综述过滤。</w:t>
            </w:r>
          </w:p>
          <w:p w14:paraId="680A389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Top、Best、Worst 等榜单类文章过滤。</w:t>
            </w:r>
          </w:p>
          <w:p w14:paraId="0AF26E5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其次，项目使用 Layer 1 对通过规则过滤的新闻进行批量 LLM 分析，输出新闻相关性、情绪方向、中文摘要、上涨原因和下跌原因。相比直接将原始文本送入模型，这一处理将新闻文本转化为更适合结构化建模的情绪与事件信息。</w:t>
            </w:r>
          </w:p>
          <w:p w14:paraId="78A3D00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最后，项目将新闻发布时间对齐到最近交易日，并计算新闻发布后的 T+0、T+1、T+3、T+5、T+10 收益。这样既可以支持事件研究式分析，也可以为后续特征工程和标签构造提供统一时间基准。</w:t>
            </w:r>
          </w:p>
          <w:p w14:paraId="482B8712">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4.3 AI 深度分析功能</w:t>
            </w:r>
          </w:p>
          <w:p w14:paraId="220356F8">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除了批量化的新闻情绪分析与机器学习预测之外，本项目的前端界面还提供了两套由大语言模型驱动的人工智能分析功能，作为对量化模型预测结果的补充说明和直观展示。这两项功能均通过后端 API 触发 LLM 完成语义理解，并将分析结果以结构化形式呈现在前端页面。</w:t>
            </w:r>
          </w:p>
          <w:p w14:paraId="5EC1640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AI 深度分析（单条新闻）：当用户选中某条具体新闻后，系统调用 Layer 2 分析接口，对该新闻进行深度解读。其处理逻辑为：先从 layer1_results 中读取该新闻的相关性、情绪方向和中文摘要，再将这些已有结构化信息作为上下文传入 LLM，由 LLM 进一步推断该新闻对目标股票的影响机制，包括驱动股价上涨的核心逻辑、驱动股价下跌的核心逻辑，以及对投资者情绪的潜在影响。该功能的实现对应后端 analyze_article 接口（backend/pipeline/layer2.py），前端调用入口为 PredictionPanel 组件。结果展示时，系统还会根据 LLM 输出的内容自动提取关键词汇，并基于关键词在历史新闻中检索相似讨论，形成"影响性文章"关联推荐。</w:t>
            </w:r>
          </w:p>
          <w:p w14:paraId="77E7ABC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AI 区间分析（时间段）：当用户在 K 线图上选定一个起止时间段后，系统调用 analyze_range 接口对该区间内的股价变动进行归因分析。该接口的输入为时间区间内的所有 OHLC 数据和相关新闻情绪聚合，LLM 的输出包括四个部分：①区间行情概述（涨跌幅、波动性、成交量特征），②关键驱动事件（按重要性排序的 3~5 个事件），③做多因素（基于新闻情绪和价格动量的上涨理由），④做空因素（基于新闻情绪和价格动量的下跌理由），⑤趋势判断（短期方向和动能评估）。区间分析直接以问句形式支持用户自定义提问，用户可以在选定时间段后补充说明自己想了解的具体问题，系统将问题一并传给 LLM 以获取更有针对性的回答。</w:t>
            </w:r>
          </w:p>
          <w:p w14:paraId="63F94A4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这两项 AI 功能的共同特点是：以结构化已有特征为锚点，以 LLM 为语义理解和推理引擎，而不是将原始新闻文本直接丢给 LLM。这种设计避免了纯 LLM 调用的高昂成本和潜在幻觉问题，同时利用了系统已有的新闻情绪分析流水线，使 LLM 的输出建立在已清洗、已对齐的数据基础之上。具体而言，Layer 1 输出的中文摘要、情绪方向、相关性判断已经解决了"这篇新闻说了什么"的基础问题；Layer 2 则在这个基础上进一步完成"这件事对股价意味着什么"的深度推理。两层分工使 LLM 的处理更加高效，也使分析结果更加稳定可控。</w:t>
            </w:r>
          </w:p>
          <w:p w14:paraId="5312EB3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在数据流层面，区间分析的核心数据来源包括：①从 ohlc 表提取区间内的 open/high/low/close/volume，②从 news_aligned + layer1_results 聚合区间内每日的新闻数量、正负面情绪占比和情绪强度，③从 layer2_results 读取关键事件描述（如有）。前端通过 RangeAnalysisPanel 组件展示分析结果，并支持中英文双语切换。</w:t>
            </w:r>
          </w:p>
          <w:p w14:paraId="1FEE0D88">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4.4 特征构建</w:t>
            </w:r>
          </w:p>
          <w:p w14:paraId="66302966">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以“股票—交易日”为基本样本单位构建特征矩阵。每一行对应某只股票在某一交易日可观测到的信息，列中既包含新闻情绪与事件相关特征，也包含价格、成交量和技术指标特征；标签则由未来若干交易日后的价格变化生成。</w:t>
            </w:r>
          </w:p>
          <w:p w14:paraId="1A53FF0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整体构建流程包括：</w:t>
            </w:r>
          </w:p>
          <w:p w14:paraId="002B39F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从 ohlc 表读取股票日频行情。</w:t>
            </w:r>
          </w:p>
          <w:p w14:paraId="734B491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从 news_aligned 和 layer1_results 聚合每日新闻情绪数据。</w:t>
            </w:r>
          </w:p>
          <w:p w14:paraId="7DB2F43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将新闻特征合并到交易日行情数据。</w:t>
            </w:r>
          </w:p>
          <w:p w14:paraId="6CDBC07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构建历史收益率、波动率、成交量比例、均线、RSI 等技术指标。</w:t>
            </w:r>
          </w:p>
          <w:p w14:paraId="5B70CC4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构建未来 T+1、T+2、T+3、T+5 涨跌方向标签。</w:t>
            </w:r>
          </w:p>
          <w:p w14:paraId="379ABE1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在模型优化实验中，额外计算未来收益率 future_return_t1 / future_return_t3 / future_return_t5，用于识别中性样本并支撑增强训练实验。</w:t>
            </w:r>
          </w:p>
          <w:p w14:paraId="1625B49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主报告中最核心的目标变量为：</w:t>
            </w:r>
          </w:p>
          <w:p w14:paraId="6151CB9B">
            <w:pPr>
              <w:spacing w:before="0" w:after="120" w:line="24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0"/>
              </w:rPr>
              <w:t>target_t5 = 未来第 5 个交易日收盘价是否高于当前收盘价</w:t>
            </w:r>
          </w:p>
          <w:p w14:paraId="7D71B8A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如果未来第 5 个交易日收盘价高于当前收盘价，则标签为 1，否则为 0。</w:t>
            </w:r>
          </w:p>
          <w:p w14:paraId="76B13235">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此外，项目还构造了多档低噪声标签，如 target_up_big_t5、target_big1_t5、target_big2_t5 及其 T+1 版本，用于对照分析“标签定义变化是否会改善模型排序能力”。这些标签的引入并不是替换主任务，而是为了验证原始二分类标签中是否存在较强的中性噪声。</w:t>
            </w:r>
          </w:p>
          <w:p w14:paraId="4026B47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后续还尝试了“中性样本过滤”方案，即将未来若干交易日绝对收益率较小的样本视为噪声区间，并在增强实验中从训练集中剔除。该做法的目的同样是验证性能瓶颈是否主要来自标签噪声，而非直接改变主报告的基础实验口径。</w:t>
            </w:r>
          </w:p>
          <w:p w14:paraId="18F03D15">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4.5 模型训练</w:t>
            </w:r>
          </w:p>
          <w:p w14:paraId="15FFE43E">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项目以 XGBoost 分类器作为主模型，对股票未来方向进行预测。训练与验证均严格遵循时间顺序划分，避免随机切分引入时间序列信息泄露。</w:t>
            </w:r>
          </w:p>
          <w:p w14:paraId="09E1D308">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在实现层面，模型训练、扩展窗口验证和统一命令行入口分别由不同模块承担，使标准方向标签、低噪声标签和深度学习拓展实验能够在同一项目框架下复用训练与评估流程。</w:t>
            </w:r>
          </w:p>
          <w:p w14:paraId="04C66606">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为了支持多种目标定义，项目底层采用显式目标列机制，使同一训练流程能够兼容标准方向标签与低噪声标签，并避免不同实验产物相互覆盖。</w:t>
            </w:r>
          </w:p>
          <w:p w14:paraId="2F39AE1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扩展窗口验证是本项目评估模型泛化能力的核心方法。具体做法是将时间序列划分为多个连续折次，逐步扩展训练窗口，并始终只用历史数据拟合模型；对于带文本降维特征的实验，则保证 TF-IDF 和 SVD 也仅在训练窗口内拟合，从而避免测试期词汇分布泄露。</w:t>
            </w:r>
          </w:p>
          <w:p w14:paraId="7EEE5CD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为避免主策略回测、AUC 对照实验和深度学习拓展实验在同一章节中相互混淆，表 4-1 对本报告涉及的几组核心实验口径进行统一说明。</w:t>
            </w:r>
          </w:p>
          <w:tbl>
            <w:tblPr>
              <w:tblStyle w:val="5"/>
              <w:tblW w:w="0" w:type="auto"/>
              <w:jc w:val="center"/>
              <w:tblLayout w:type="fixed"/>
              <w:tblCellMar>
                <w:top w:w="0" w:type="dxa"/>
                <w:left w:w="108" w:type="dxa"/>
                <w:bottom w:w="0" w:type="dxa"/>
                <w:right w:w="108" w:type="dxa"/>
              </w:tblCellMar>
            </w:tblPr>
            <w:tblGrid>
              <w:gridCol w:w="2280"/>
              <w:gridCol w:w="2280"/>
              <w:gridCol w:w="2280"/>
              <w:gridCol w:w="2280"/>
            </w:tblGrid>
            <w:tr w14:paraId="0F5485E0">
              <w:tblPrEx>
                <w:tblCellMar>
                  <w:top w:w="0" w:type="dxa"/>
                  <w:left w:w="108" w:type="dxa"/>
                  <w:bottom w:w="0" w:type="dxa"/>
                  <w:right w:w="108" w:type="dxa"/>
                </w:tblCellMar>
              </w:tblPrEx>
              <w:trPr>
                <w:jc w:val="center"/>
              </w:trPr>
              <w:tc>
                <w:tcPr>
                  <w:tcW w:w="2280" w:type="dxa"/>
                  <w:vAlign w:val="center"/>
                </w:tcPr>
                <w:p w14:paraId="09FDA160">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实验名称</w:t>
                  </w:r>
                </w:p>
              </w:tc>
              <w:tc>
                <w:tcPr>
                  <w:tcW w:w="2280" w:type="dxa"/>
                  <w:vAlign w:val="center"/>
                </w:tcPr>
                <w:p w14:paraId="64BF9EB2">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目标标签</w:t>
                  </w:r>
                </w:p>
              </w:tc>
              <w:tc>
                <w:tcPr>
                  <w:tcW w:w="2280" w:type="dxa"/>
                  <w:vAlign w:val="center"/>
                </w:tcPr>
                <w:p w14:paraId="5EE5AAB2">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特征集/输入</w:t>
                  </w:r>
                </w:p>
              </w:tc>
              <w:tc>
                <w:tcPr>
                  <w:tcW w:w="2280" w:type="dxa"/>
                  <w:vAlign w:val="center"/>
                </w:tcPr>
                <w:p w14:paraId="1917DE36">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主要用途</w:t>
                  </w:r>
                </w:p>
              </w:tc>
            </w:tr>
            <w:tr w14:paraId="03ED3D44">
              <w:tblPrEx>
                <w:tblCellMar>
                  <w:top w:w="0" w:type="dxa"/>
                  <w:left w:w="108" w:type="dxa"/>
                  <w:bottom w:w="0" w:type="dxa"/>
                  <w:right w:w="108" w:type="dxa"/>
                </w:tblCellMar>
              </w:tblPrEx>
              <w:trPr>
                <w:jc w:val="center"/>
              </w:trPr>
              <w:tc>
                <w:tcPr>
                  <w:tcW w:w="2280" w:type="dxa"/>
                  <w:vAlign w:val="center"/>
                </w:tcPr>
                <w:p w14:paraId="19C9140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主训练与主策略回测</w:t>
                  </w:r>
                </w:p>
              </w:tc>
              <w:tc>
                <w:tcPr>
                  <w:tcW w:w="2280" w:type="dxa"/>
                  <w:vAlign w:val="center"/>
                </w:tcPr>
                <w:p w14:paraId="53283CB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target_t5 或 target_t1</w:t>
                  </w:r>
                </w:p>
              </w:tc>
              <w:tc>
                <w:tcPr>
                  <w:tcW w:w="2280" w:type="dxa"/>
                  <w:vAlign w:val="center"/>
                </w:tcPr>
                <w:p w14:paraId="42C3CF0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主训练数值特征</w:t>
                  </w:r>
                </w:p>
              </w:tc>
              <w:tc>
                <w:tcPr>
                  <w:tcW w:w="2280" w:type="dxa"/>
                  <w:vAlign w:val="center"/>
                </w:tcPr>
                <w:p w14:paraId="3B73D4D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形成课程主展示结果</w:t>
                  </w:r>
                </w:p>
              </w:tc>
            </w:tr>
            <w:tr w14:paraId="7C14D5A1">
              <w:tblPrEx>
                <w:tblCellMar>
                  <w:top w:w="0" w:type="dxa"/>
                  <w:left w:w="108" w:type="dxa"/>
                  <w:bottom w:w="0" w:type="dxa"/>
                  <w:right w:w="108" w:type="dxa"/>
                </w:tblCellMar>
              </w:tblPrEx>
              <w:trPr>
                <w:jc w:val="center"/>
              </w:trPr>
              <w:tc>
                <w:tcPr>
                  <w:tcW w:w="2280" w:type="dxa"/>
                  <w:vAlign w:val="center"/>
                </w:tcPr>
                <w:p w14:paraId="4A8C344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AUC 优先实验</w:t>
                  </w:r>
                </w:p>
              </w:tc>
              <w:tc>
                <w:tcPr>
                  <w:tcW w:w="2280" w:type="dxa"/>
                  <w:vAlign w:val="center"/>
                </w:tcPr>
                <w:p w14:paraId="41D8808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target_up_big_t5 等低噪声标签</w:t>
                  </w:r>
                </w:p>
              </w:tc>
              <w:tc>
                <w:tcPr>
                  <w:tcW w:w="2280" w:type="dxa"/>
                  <w:vAlign w:val="center"/>
                </w:tcPr>
                <w:p w14:paraId="10213DD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v1_base、v2_market、v2_full 等</w:t>
                  </w:r>
                </w:p>
              </w:tc>
              <w:tc>
                <w:tcPr>
                  <w:tcW w:w="2280" w:type="dxa"/>
                  <w:vAlign w:val="center"/>
                </w:tcPr>
                <w:p w14:paraId="2931F70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分析标签噪声与排序能力</w:t>
                  </w:r>
                </w:p>
              </w:tc>
            </w:tr>
            <w:tr w14:paraId="1087C2E0">
              <w:tblPrEx>
                <w:tblCellMar>
                  <w:top w:w="0" w:type="dxa"/>
                  <w:left w:w="108" w:type="dxa"/>
                  <w:bottom w:w="0" w:type="dxa"/>
                  <w:right w:w="108" w:type="dxa"/>
                </w:tblCellMar>
              </w:tblPrEx>
              <w:trPr>
                <w:jc w:val="center"/>
              </w:trPr>
              <w:tc>
                <w:tcPr>
                  <w:tcW w:w="2280" w:type="dxa"/>
                  <w:vAlign w:val="center"/>
                </w:tcPr>
                <w:p w14:paraId="57B3C42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中性样本过滤实验</w:t>
                  </w:r>
                </w:p>
              </w:tc>
              <w:tc>
                <w:tcPr>
                  <w:tcW w:w="2280" w:type="dxa"/>
                  <w:vAlign w:val="center"/>
                </w:tcPr>
                <w:p w14:paraId="6735B45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标准方向标签 + 中性区间过滤</w:t>
                  </w:r>
                </w:p>
              </w:tc>
              <w:tc>
                <w:tcPr>
                  <w:tcW w:w="2280" w:type="dxa"/>
                  <w:vAlign w:val="center"/>
                </w:tcPr>
                <w:p w14:paraId="79A2A5F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过滤后的训练样本</w:t>
                  </w:r>
                </w:p>
              </w:tc>
              <w:tc>
                <w:tcPr>
                  <w:tcW w:w="2280" w:type="dxa"/>
                  <w:vAlign w:val="center"/>
                </w:tcPr>
                <w:p w14:paraId="71BC652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验证剔除中性样本的影响</w:t>
                  </w:r>
                </w:p>
              </w:tc>
            </w:tr>
            <w:tr w14:paraId="599BCEC7">
              <w:tblPrEx>
                <w:tblCellMar>
                  <w:top w:w="0" w:type="dxa"/>
                  <w:left w:w="108" w:type="dxa"/>
                  <w:bottom w:w="0" w:type="dxa"/>
                  <w:right w:w="108" w:type="dxa"/>
                </w:tblCellMar>
              </w:tblPrEx>
              <w:trPr>
                <w:jc w:val="center"/>
              </w:trPr>
              <w:tc>
                <w:tcPr>
                  <w:tcW w:w="2280" w:type="dxa"/>
                  <w:vAlign w:val="center"/>
                </w:tcPr>
                <w:p w14:paraId="56F79D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LSTM 拓展实验</w:t>
                  </w:r>
                </w:p>
              </w:tc>
              <w:tc>
                <w:tcPr>
                  <w:tcW w:w="2280" w:type="dxa"/>
                  <w:vAlign w:val="center"/>
                </w:tcPr>
                <w:p w14:paraId="76FF070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target_t3</w:t>
                  </w:r>
                </w:p>
              </w:tc>
              <w:tc>
                <w:tcPr>
                  <w:tcW w:w="2280" w:type="dxa"/>
                  <w:vAlign w:val="center"/>
                </w:tcPr>
                <w:p w14:paraId="7063459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序列化后的交易日特征</w:t>
                  </w:r>
                </w:p>
              </w:tc>
              <w:tc>
                <w:tcPr>
                  <w:tcW w:w="2280" w:type="dxa"/>
                  <w:vAlign w:val="center"/>
                </w:tcPr>
                <w:p w14:paraId="138C6C0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验证深度学习时序建模适配性</w:t>
                  </w:r>
                </w:p>
              </w:tc>
            </w:tr>
          </w:tbl>
          <w:p w14:paraId="0035E358">
            <w:pPr>
              <w:rPr>
                <w:rFonts w:hint="default" w:ascii="Times New Roman" w:hAnsi="Times New Roman" w:eastAsia="宋体" w:cs="Times New Roman"/>
              </w:rPr>
            </w:pPr>
          </w:p>
          <w:p w14:paraId="10FE762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需要说明的是，这几组实验面向的问题并不完全相同：主策略回测侧重课程指标是否达标，AUC 优先实验侧重概率排序能力，中性样本过滤实验用于验证噪声来源，LSTM 实验则用于评估深度学习模型是否适合当前数据条件。因此，报告后文在比较不同实验结果时，强调的是“结论方向的一致性”，而不是把所有数值直接作为同一口径下的横向优劣排序。</w:t>
            </w:r>
          </w:p>
          <w:p w14:paraId="7B53BB2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模型主要参数如下：</w:t>
            </w:r>
          </w:p>
          <w:tbl>
            <w:tblPr>
              <w:tblStyle w:val="5"/>
              <w:tblW w:w="0" w:type="auto"/>
              <w:jc w:val="center"/>
              <w:tblLayout w:type="fixed"/>
              <w:tblCellMar>
                <w:top w:w="0" w:type="dxa"/>
                <w:left w:w="108" w:type="dxa"/>
                <w:bottom w:w="0" w:type="dxa"/>
                <w:right w:w="108" w:type="dxa"/>
              </w:tblCellMar>
            </w:tblPr>
            <w:tblGrid>
              <w:gridCol w:w="4561"/>
              <w:gridCol w:w="4561"/>
            </w:tblGrid>
            <w:tr w14:paraId="3F93711E">
              <w:tblPrEx>
                <w:tblCellMar>
                  <w:top w:w="0" w:type="dxa"/>
                  <w:left w:w="108" w:type="dxa"/>
                  <w:bottom w:w="0" w:type="dxa"/>
                  <w:right w:w="108" w:type="dxa"/>
                </w:tblCellMar>
              </w:tblPrEx>
              <w:trPr>
                <w:jc w:val="center"/>
              </w:trPr>
              <w:tc>
                <w:tcPr>
                  <w:tcW w:w="4561" w:type="dxa"/>
                  <w:vAlign w:val="center"/>
                </w:tcPr>
                <w:p w14:paraId="3A56C71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参数</w:t>
                  </w:r>
                </w:p>
              </w:tc>
              <w:tc>
                <w:tcPr>
                  <w:tcW w:w="4561" w:type="dxa"/>
                  <w:vAlign w:val="center"/>
                </w:tcPr>
                <w:p w14:paraId="2C6C91F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值</w:t>
                  </w:r>
                </w:p>
              </w:tc>
            </w:tr>
            <w:tr w14:paraId="29246722">
              <w:tblPrEx>
                <w:tblCellMar>
                  <w:top w:w="0" w:type="dxa"/>
                  <w:left w:w="108" w:type="dxa"/>
                  <w:bottom w:w="0" w:type="dxa"/>
                  <w:right w:w="108" w:type="dxa"/>
                </w:tblCellMar>
              </w:tblPrEx>
              <w:trPr>
                <w:jc w:val="center"/>
              </w:trPr>
              <w:tc>
                <w:tcPr>
                  <w:tcW w:w="4561" w:type="dxa"/>
                  <w:vAlign w:val="center"/>
                </w:tcPr>
                <w:p w14:paraId="7CDE721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max_depth</w:t>
                  </w:r>
                </w:p>
              </w:tc>
              <w:tc>
                <w:tcPr>
                  <w:tcW w:w="4561" w:type="dxa"/>
                  <w:vAlign w:val="center"/>
                </w:tcPr>
                <w:p w14:paraId="2731082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w:t>
                  </w:r>
                </w:p>
              </w:tc>
            </w:tr>
            <w:tr w14:paraId="78B86C32">
              <w:tblPrEx>
                <w:tblCellMar>
                  <w:top w:w="0" w:type="dxa"/>
                  <w:left w:w="108" w:type="dxa"/>
                  <w:bottom w:w="0" w:type="dxa"/>
                  <w:right w:w="108" w:type="dxa"/>
                </w:tblCellMar>
              </w:tblPrEx>
              <w:trPr>
                <w:jc w:val="center"/>
              </w:trPr>
              <w:tc>
                <w:tcPr>
                  <w:tcW w:w="4561" w:type="dxa"/>
                  <w:vAlign w:val="center"/>
                </w:tcPr>
                <w:p w14:paraId="06C7C68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n_estimators</w:t>
                  </w:r>
                </w:p>
              </w:tc>
              <w:tc>
                <w:tcPr>
                  <w:tcW w:w="4561" w:type="dxa"/>
                  <w:vAlign w:val="center"/>
                </w:tcPr>
                <w:p w14:paraId="18D8268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200 或 300</w:t>
                  </w:r>
                </w:p>
              </w:tc>
            </w:tr>
            <w:tr w14:paraId="416E071A">
              <w:tblPrEx>
                <w:tblCellMar>
                  <w:top w:w="0" w:type="dxa"/>
                  <w:left w:w="108" w:type="dxa"/>
                  <w:bottom w:w="0" w:type="dxa"/>
                  <w:right w:w="108" w:type="dxa"/>
                </w:tblCellMar>
              </w:tblPrEx>
              <w:trPr>
                <w:jc w:val="center"/>
              </w:trPr>
              <w:tc>
                <w:tcPr>
                  <w:tcW w:w="4561" w:type="dxa"/>
                  <w:vAlign w:val="center"/>
                </w:tcPr>
                <w:p w14:paraId="5829725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learning_rate</w:t>
                  </w:r>
                </w:p>
              </w:tc>
              <w:tc>
                <w:tcPr>
                  <w:tcW w:w="4561" w:type="dxa"/>
                  <w:vAlign w:val="center"/>
                </w:tcPr>
                <w:p w14:paraId="2EE7ED7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0.05</w:t>
                  </w:r>
                </w:p>
              </w:tc>
            </w:tr>
            <w:tr w14:paraId="3A11AF2A">
              <w:tblPrEx>
                <w:tblCellMar>
                  <w:top w:w="0" w:type="dxa"/>
                  <w:left w:w="108" w:type="dxa"/>
                  <w:bottom w:w="0" w:type="dxa"/>
                  <w:right w:w="108" w:type="dxa"/>
                </w:tblCellMar>
              </w:tblPrEx>
              <w:trPr>
                <w:jc w:val="center"/>
              </w:trPr>
              <w:tc>
                <w:tcPr>
                  <w:tcW w:w="4561" w:type="dxa"/>
                  <w:vAlign w:val="center"/>
                </w:tcPr>
                <w:p w14:paraId="6E4A917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subsample</w:t>
                  </w:r>
                </w:p>
              </w:tc>
              <w:tc>
                <w:tcPr>
                  <w:tcW w:w="4561" w:type="dxa"/>
                  <w:vAlign w:val="center"/>
                </w:tcPr>
                <w:p w14:paraId="645524C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0.8</w:t>
                  </w:r>
                </w:p>
              </w:tc>
            </w:tr>
            <w:tr w14:paraId="007E5BE7">
              <w:tblPrEx>
                <w:tblCellMar>
                  <w:top w:w="0" w:type="dxa"/>
                  <w:left w:w="108" w:type="dxa"/>
                  <w:bottom w:w="0" w:type="dxa"/>
                  <w:right w:w="108" w:type="dxa"/>
                </w:tblCellMar>
              </w:tblPrEx>
              <w:trPr>
                <w:jc w:val="center"/>
              </w:trPr>
              <w:tc>
                <w:tcPr>
                  <w:tcW w:w="4561" w:type="dxa"/>
                  <w:vAlign w:val="center"/>
                </w:tcPr>
                <w:p w14:paraId="3ED595D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colsample_bytree</w:t>
                  </w:r>
                </w:p>
              </w:tc>
              <w:tc>
                <w:tcPr>
                  <w:tcW w:w="4561" w:type="dxa"/>
                  <w:vAlign w:val="center"/>
                </w:tcPr>
                <w:p w14:paraId="2B9387D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0.8</w:t>
                  </w:r>
                </w:p>
              </w:tc>
            </w:tr>
            <w:tr w14:paraId="1C5583AD">
              <w:tblPrEx>
                <w:tblCellMar>
                  <w:top w:w="0" w:type="dxa"/>
                  <w:left w:w="108" w:type="dxa"/>
                  <w:bottom w:w="0" w:type="dxa"/>
                  <w:right w:w="108" w:type="dxa"/>
                </w:tblCellMar>
              </w:tblPrEx>
              <w:trPr>
                <w:jc w:val="center"/>
              </w:trPr>
              <w:tc>
                <w:tcPr>
                  <w:tcW w:w="4561" w:type="dxa"/>
                  <w:vAlign w:val="center"/>
                </w:tcPr>
                <w:p w14:paraId="53199BC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eval_metric</w:t>
                  </w:r>
                </w:p>
              </w:tc>
              <w:tc>
                <w:tcPr>
                  <w:tcW w:w="4561" w:type="dxa"/>
                  <w:vAlign w:val="center"/>
                </w:tcPr>
                <w:p w14:paraId="3AA6F74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logloss</w:t>
                  </w:r>
                </w:p>
              </w:tc>
            </w:tr>
            <w:tr w14:paraId="6C9650F8">
              <w:tblPrEx>
                <w:tblCellMar>
                  <w:top w:w="0" w:type="dxa"/>
                  <w:left w:w="108" w:type="dxa"/>
                  <w:bottom w:w="0" w:type="dxa"/>
                  <w:right w:w="108" w:type="dxa"/>
                </w:tblCellMar>
              </w:tblPrEx>
              <w:trPr>
                <w:jc w:val="center"/>
              </w:trPr>
              <w:tc>
                <w:tcPr>
                  <w:tcW w:w="4561" w:type="dxa"/>
                  <w:vAlign w:val="center"/>
                </w:tcPr>
                <w:p w14:paraId="083EA2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random_state</w:t>
                  </w:r>
                </w:p>
              </w:tc>
              <w:tc>
                <w:tcPr>
                  <w:tcW w:w="4561" w:type="dxa"/>
                  <w:vAlign w:val="center"/>
                </w:tcPr>
                <w:p w14:paraId="2E02AAB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42</w:t>
                  </w:r>
                </w:p>
              </w:tc>
            </w:tr>
          </w:tbl>
          <w:p w14:paraId="6761A496">
            <w:pPr>
              <w:rPr>
                <w:rFonts w:hint="default" w:ascii="Times New Roman" w:hAnsi="Times New Roman" w:eastAsia="宋体" w:cs="Times New Roman"/>
              </w:rPr>
            </w:pPr>
          </w:p>
          <w:p w14:paraId="1CA9D6A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在单次训练/测试集切分口径下，MU 股票 T+5 模型的代表性评估指标如下：</w:t>
            </w:r>
          </w:p>
          <w:tbl>
            <w:tblPr>
              <w:tblStyle w:val="5"/>
              <w:tblW w:w="0" w:type="auto"/>
              <w:jc w:val="center"/>
              <w:tblLayout w:type="fixed"/>
              <w:tblCellMar>
                <w:top w:w="0" w:type="dxa"/>
                <w:left w:w="108" w:type="dxa"/>
                <w:bottom w:w="0" w:type="dxa"/>
                <w:right w:w="108" w:type="dxa"/>
              </w:tblCellMar>
            </w:tblPr>
            <w:tblGrid>
              <w:gridCol w:w="4561"/>
              <w:gridCol w:w="4561"/>
            </w:tblGrid>
            <w:tr w14:paraId="0292CBB4">
              <w:tblPrEx>
                <w:tblCellMar>
                  <w:top w:w="0" w:type="dxa"/>
                  <w:left w:w="108" w:type="dxa"/>
                  <w:bottom w:w="0" w:type="dxa"/>
                  <w:right w:w="108" w:type="dxa"/>
                </w:tblCellMar>
              </w:tblPrEx>
              <w:trPr>
                <w:jc w:val="center"/>
              </w:trPr>
              <w:tc>
                <w:tcPr>
                  <w:tcW w:w="4561" w:type="dxa"/>
                  <w:vAlign w:val="center"/>
                </w:tcPr>
                <w:p w14:paraId="1626D4F0">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4561" w:type="dxa"/>
                  <w:vAlign w:val="center"/>
                </w:tcPr>
                <w:p w14:paraId="570BEE1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数值</w:t>
                  </w:r>
                </w:p>
              </w:tc>
            </w:tr>
            <w:tr w14:paraId="72DBE13D">
              <w:tblPrEx>
                <w:tblCellMar>
                  <w:top w:w="0" w:type="dxa"/>
                  <w:left w:w="108" w:type="dxa"/>
                  <w:bottom w:w="0" w:type="dxa"/>
                  <w:right w:w="108" w:type="dxa"/>
                </w:tblCellMar>
              </w:tblPrEx>
              <w:trPr>
                <w:jc w:val="center"/>
              </w:trPr>
              <w:tc>
                <w:tcPr>
                  <w:tcW w:w="4561" w:type="dxa"/>
                  <w:vAlign w:val="center"/>
                </w:tcPr>
                <w:p w14:paraId="545168F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训练集样本数</w:t>
                  </w:r>
                </w:p>
              </w:tc>
              <w:tc>
                <w:tcPr>
                  <w:tcW w:w="4561" w:type="dxa"/>
                  <w:vAlign w:val="center"/>
                </w:tcPr>
                <w:p w14:paraId="14B4AFD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401</w:t>
                  </w:r>
                </w:p>
              </w:tc>
            </w:tr>
            <w:tr w14:paraId="018A6FE6">
              <w:tblPrEx>
                <w:tblCellMar>
                  <w:top w:w="0" w:type="dxa"/>
                  <w:left w:w="108" w:type="dxa"/>
                  <w:bottom w:w="0" w:type="dxa"/>
                  <w:right w:w="108" w:type="dxa"/>
                </w:tblCellMar>
              </w:tblPrEx>
              <w:trPr>
                <w:jc w:val="center"/>
              </w:trPr>
              <w:tc>
                <w:tcPr>
                  <w:tcW w:w="4561" w:type="dxa"/>
                  <w:vAlign w:val="center"/>
                </w:tcPr>
                <w:p w14:paraId="2459AF5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测试集样本数</w:t>
                  </w:r>
                </w:p>
              </w:tc>
              <w:tc>
                <w:tcPr>
                  <w:tcW w:w="4561" w:type="dxa"/>
                  <w:vAlign w:val="center"/>
                </w:tcPr>
                <w:p w14:paraId="0D83868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101</w:t>
                  </w:r>
                </w:p>
              </w:tc>
            </w:tr>
            <w:tr w14:paraId="745BE16D">
              <w:tblPrEx>
                <w:tblCellMar>
                  <w:top w:w="0" w:type="dxa"/>
                  <w:left w:w="108" w:type="dxa"/>
                  <w:bottom w:w="0" w:type="dxa"/>
                  <w:right w:w="108" w:type="dxa"/>
                </w:tblCellMar>
              </w:tblPrEx>
              <w:trPr>
                <w:jc w:val="center"/>
              </w:trPr>
              <w:tc>
                <w:tcPr>
                  <w:tcW w:w="4561" w:type="dxa"/>
                  <w:vAlign w:val="center"/>
                </w:tcPr>
                <w:p w14:paraId="6D5E848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训练区间</w:t>
                  </w:r>
                </w:p>
              </w:tc>
              <w:tc>
                <w:tcPr>
                  <w:tcW w:w="4561" w:type="dxa"/>
                  <w:vAlign w:val="center"/>
                </w:tcPr>
                <w:p w14:paraId="6E1620E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2024-03-01 至 2025-10-06</w:t>
                  </w:r>
                </w:p>
              </w:tc>
            </w:tr>
            <w:tr w14:paraId="679BAE03">
              <w:tblPrEx>
                <w:tblCellMar>
                  <w:top w:w="0" w:type="dxa"/>
                  <w:left w:w="108" w:type="dxa"/>
                  <w:bottom w:w="0" w:type="dxa"/>
                  <w:right w:w="108" w:type="dxa"/>
                </w:tblCellMar>
              </w:tblPrEx>
              <w:trPr>
                <w:jc w:val="center"/>
              </w:trPr>
              <w:tc>
                <w:tcPr>
                  <w:tcW w:w="4561" w:type="dxa"/>
                  <w:vAlign w:val="center"/>
                </w:tcPr>
                <w:p w14:paraId="497F9C4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测试区间</w:t>
                  </w:r>
                </w:p>
              </w:tc>
              <w:tc>
                <w:tcPr>
                  <w:tcW w:w="4561" w:type="dxa"/>
                  <w:vAlign w:val="center"/>
                </w:tcPr>
                <w:p w14:paraId="09A036F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2025-10-07 至 2026-03-03</w:t>
                  </w:r>
                </w:p>
              </w:tc>
            </w:tr>
            <w:tr w14:paraId="41B29D47">
              <w:tblPrEx>
                <w:tblCellMar>
                  <w:top w:w="0" w:type="dxa"/>
                  <w:left w:w="108" w:type="dxa"/>
                  <w:bottom w:w="0" w:type="dxa"/>
                  <w:right w:w="108" w:type="dxa"/>
                </w:tblCellMar>
              </w:tblPrEx>
              <w:trPr>
                <w:jc w:val="center"/>
              </w:trPr>
              <w:tc>
                <w:tcPr>
                  <w:tcW w:w="4561" w:type="dxa"/>
                  <w:vAlign w:val="center"/>
                </w:tcPr>
                <w:p w14:paraId="04A40D1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准确率</w:t>
                  </w:r>
                </w:p>
              </w:tc>
              <w:tc>
                <w:tcPr>
                  <w:tcW w:w="4561" w:type="dxa"/>
                  <w:vAlign w:val="center"/>
                </w:tcPr>
                <w:p w14:paraId="66B1B90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61.39%</w:t>
                  </w:r>
                </w:p>
              </w:tc>
            </w:tr>
            <w:tr w14:paraId="61068804">
              <w:tblPrEx>
                <w:tblCellMar>
                  <w:top w:w="0" w:type="dxa"/>
                  <w:left w:w="108" w:type="dxa"/>
                  <w:bottom w:w="0" w:type="dxa"/>
                  <w:right w:w="108" w:type="dxa"/>
                </w:tblCellMar>
              </w:tblPrEx>
              <w:trPr>
                <w:jc w:val="center"/>
              </w:trPr>
              <w:tc>
                <w:tcPr>
                  <w:tcW w:w="4561" w:type="dxa"/>
                  <w:vAlign w:val="center"/>
                </w:tcPr>
                <w:p w14:paraId="6B6B7F9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基线准确率</w:t>
                  </w:r>
                </w:p>
              </w:tc>
              <w:tc>
                <w:tcPr>
                  <w:tcW w:w="4561" w:type="dxa"/>
                  <w:vAlign w:val="center"/>
                </w:tcPr>
                <w:p w14:paraId="664888D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69.31%</w:t>
                  </w:r>
                </w:p>
              </w:tc>
            </w:tr>
            <w:tr w14:paraId="4647550E">
              <w:tblPrEx>
                <w:tblCellMar>
                  <w:top w:w="0" w:type="dxa"/>
                  <w:left w:w="108" w:type="dxa"/>
                  <w:bottom w:w="0" w:type="dxa"/>
                  <w:right w:w="108" w:type="dxa"/>
                </w:tblCellMar>
              </w:tblPrEx>
              <w:trPr>
                <w:jc w:val="center"/>
              </w:trPr>
              <w:tc>
                <w:tcPr>
                  <w:tcW w:w="4561" w:type="dxa"/>
                  <w:vAlign w:val="center"/>
                </w:tcPr>
                <w:p w14:paraId="650B844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精确率</w:t>
                  </w:r>
                </w:p>
              </w:tc>
              <w:tc>
                <w:tcPr>
                  <w:tcW w:w="4561" w:type="dxa"/>
                  <w:vAlign w:val="center"/>
                </w:tcPr>
                <w:p w14:paraId="21DF5FD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72.46%</w:t>
                  </w:r>
                </w:p>
              </w:tc>
            </w:tr>
            <w:tr w14:paraId="4EF23E5D">
              <w:tblPrEx>
                <w:tblCellMar>
                  <w:top w:w="0" w:type="dxa"/>
                  <w:left w:w="108" w:type="dxa"/>
                  <w:bottom w:w="0" w:type="dxa"/>
                  <w:right w:w="108" w:type="dxa"/>
                </w:tblCellMar>
              </w:tblPrEx>
              <w:trPr>
                <w:jc w:val="center"/>
              </w:trPr>
              <w:tc>
                <w:tcPr>
                  <w:tcW w:w="4561" w:type="dxa"/>
                  <w:vAlign w:val="center"/>
                </w:tcPr>
                <w:p w14:paraId="28A6BB3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召回率</w:t>
                  </w:r>
                </w:p>
              </w:tc>
              <w:tc>
                <w:tcPr>
                  <w:tcW w:w="4561" w:type="dxa"/>
                  <w:vAlign w:val="center"/>
                </w:tcPr>
                <w:p w14:paraId="7F0620F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71.43%</w:t>
                  </w:r>
                </w:p>
              </w:tc>
            </w:tr>
            <w:tr w14:paraId="79F1258E">
              <w:tblPrEx>
                <w:tblCellMar>
                  <w:top w:w="0" w:type="dxa"/>
                  <w:left w:w="108" w:type="dxa"/>
                  <w:bottom w:w="0" w:type="dxa"/>
                  <w:right w:w="108" w:type="dxa"/>
                </w:tblCellMar>
              </w:tblPrEx>
              <w:trPr>
                <w:jc w:val="center"/>
              </w:trPr>
              <w:tc>
                <w:tcPr>
                  <w:tcW w:w="4561" w:type="dxa"/>
                  <w:vAlign w:val="center"/>
                </w:tcPr>
                <w:p w14:paraId="1FBEFF6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F1 值</w:t>
                  </w:r>
                </w:p>
              </w:tc>
              <w:tc>
                <w:tcPr>
                  <w:tcW w:w="4561" w:type="dxa"/>
                  <w:vAlign w:val="center"/>
                </w:tcPr>
                <w:p w14:paraId="32E9371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71.94%</w:t>
                  </w:r>
                </w:p>
              </w:tc>
            </w:tr>
          </w:tbl>
          <w:p w14:paraId="1C04A42A">
            <w:pPr>
              <w:rPr>
                <w:rFonts w:hint="default" w:ascii="Times New Roman" w:hAnsi="Times New Roman" w:eastAsia="宋体" w:cs="Times New Roman"/>
              </w:rPr>
            </w:pPr>
          </w:p>
          <w:p w14:paraId="5029C78D">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从这些指标可以看出，模型在精确率、召回率和 F1 值上并非完全失效，但若从严格的样本外二分类预测角度衡量，其整体表现仍不优于多数类基线。因此，本报告在评价模型时同时保留分类指标与策略回测指标：前者反映预测任务本身的学习效果，后者用于观察这些概率输出在交易决策中是否仍具备一定实用性。</w:t>
            </w:r>
          </w:p>
          <w:p w14:paraId="4485AAB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为了进一步判断性能瓶颈是否主要来自参数设置，项目随后新增了基于扩展窗口（expanding-window）的 XGBoost 参数搜索实验。与单次训练集/测试集切分不同，该实验将时间序列划分为多个连续折次，逐步扩展训练窗口，并在每一折上做样本外验证，再汇总整体指标。搜索参数包括 max_depth、n_estimators、learning_rate、subsample、colsample_bytree 和 min_child_weight，共测试 64 组参数组合。</w:t>
            </w:r>
          </w:p>
          <w:p w14:paraId="18990EC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以 MU 股票、T+5 预测周期为例，扩展窗口搜索得到的相对最优参数如下：</w:t>
            </w:r>
          </w:p>
          <w:tbl>
            <w:tblPr>
              <w:tblStyle w:val="5"/>
              <w:tblW w:w="0" w:type="auto"/>
              <w:jc w:val="center"/>
              <w:tblLayout w:type="fixed"/>
              <w:tblCellMar>
                <w:top w:w="0" w:type="dxa"/>
                <w:left w:w="108" w:type="dxa"/>
                <w:bottom w:w="0" w:type="dxa"/>
                <w:right w:w="108" w:type="dxa"/>
              </w:tblCellMar>
            </w:tblPr>
            <w:tblGrid>
              <w:gridCol w:w="4561"/>
              <w:gridCol w:w="4561"/>
            </w:tblGrid>
            <w:tr w14:paraId="79E13D35">
              <w:tblPrEx>
                <w:tblCellMar>
                  <w:top w:w="0" w:type="dxa"/>
                  <w:left w:w="108" w:type="dxa"/>
                  <w:bottom w:w="0" w:type="dxa"/>
                  <w:right w:w="108" w:type="dxa"/>
                </w:tblCellMar>
              </w:tblPrEx>
              <w:trPr>
                <w:jc w:val="center"/>
              </w:trPr>
              <w:tc>
                <w:tcPr>
                  <w:tcW w:w="4561" w:type="dxa"/>
                  <w:vAlign w:val="center"/>
                </w:tcPr>
                <w:p w14:paraId="7A69BEC6">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参数</w:t>
                  </w:r>
                </w:p>
              </w:tc>
              <w:tc>
                <w:tcPr>
                  <w:tcW w:w="4561" w:type="dxa"/>
                  <w:vAlign w:val="center"/>
                </w:tcPr>
                <w:p w14:paraId="54F88171">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结果</w:t>
                  </w:r>
                </w:p>
              </w:tc>
            </w:tr>
            <w:tr w14:paraId="6D49997C">
              <w:tblPrEx>
                <w:tblCellMar>
                  <w:top w:w="0" w:type="dxa"/>
                  <w:left w:w="108" w:type="dxa"/>
                  <w:bottom w:w="0" w:type="dxa"/>
                  <w:right w:w="108" w:type="dxa"/>
                </w:tblCellMar>
              </w:tblPrEx>
              <w:trPr>
                <w:jc w:val="center"/>
              </w:trPr>
              <w:tc>
                <w:tcPr>
                  <w:tcW w:w="4561" w:type="dxa"/>
                  <w:vAlign w:val="center"/>
                </w:tcPr>
                <w:p w14:paraId="49738E1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max_depth</w:t>
                  </w:r>
                </w:p>
              </w:tc>
              <w:tc>
                <w:tcPr>
                  <w:tcW w:w="4561" w:type="dxa"/>
                  <w:vAlign w:val="center"/>
                </w:tcPr>
                <w:p w14:paraId="65AC69C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w:t>
                  </w:r>
                </w:p>
              </w:tc>
            </w:tr>
            <w:tr w14:paraId="1BA5F8FF">
              <w:tblPrEx>
                <w:tblCellMar>
                  <w:top w:w="0" w:type="dxa"/>
                  <w:left w:w="108" w:type="dxa"/>
                  <w:bottom w:w="0" w:type="dxa"/>
                  <w:right w:w="108" w:type="dxa"/>
                </w:tblCellMar>
              </w:tblPrEx>
              <w:trPr>
                <w:jc w:val="center"/>
              </w:trPr>
              <w:tc>
                <w:tcPr>
                  <w:tcW w:w="4561" w:type="dxa"/>
                  <w:vAlign w:val="center"/>
                </w:tcPr>
                <w:p w14:paraId="4BA7287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n_estimators</w:t>
                  </w:r>
                </w:p>
              </w:tc>
              <w:tc>
                <w:tcPr>
                  <w:tcW w:w="4561" w:type="dxa"/>
                  <w:vAlign w:val="center"/>
                </w:tcPr>
                <w:p w14:paraId="1DB6F3C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150</w:t>
                  </w:r>
                </w:p>
              </w:tc>
            </w:tr>
            <w:tr w14:paraId="6F4F171B">
              <w:tblPrEx>
                <w:tblCellMar>
                  <w:top w:w="0" w:type="dxa"/>
                  <w:left w:w="108" w:type="dxa"/>
                  <w:bottom w:w="0" w:type="dxa"/>
                  <w:right w:w="108" w:type="dxa"/>
                </w:tblCellMar>
              </w:tblPrEx>
              <w:trPr>
                <w:jc w:val="center"/>
              </w:trPr>
              <w:tc>
                <w:tcPr>
                  <w:tcW w:w="4561" w:type="dxa"/>
                  <w:vAlign w:val="center"/>
                </w:tcPr>
                <w:p w14:paraId="3CC00AC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learning_rate</w:t>
                  </w:r>
                </w:p>
              </w:tc>
              <w:tc>
                <w:tcPr>
                  <w:tcW w:w="4561" w:type="dxa"/>
                  <w:vAlign w:val="center"/>
                </w:tcPr>
                <w:p w14:paraId="5AD6214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0.03</w:t>
                  </w:r>
                </w:p>
              </w:tc>
            </w:tr>
            <w:tr w14:paraId="32D80138">
              <w:tblPrEx>
                <w:tblCellMar>
                  <w:top w:w="0" w:type="dxa"/>
                  <w:left w:w="108" w:type="dxa"/>
                  <w:bottom w:w="0" w:type="dxa"/>
                  <w:right w:w="108" w:type="dxa"/>
                </w:tblCellMar>
              </w:tblPrEx>
              <w:trPr>
                <w:jc w:val="center"/>
              </w:trPr>
              <w:tc>
                <w:tcPr>
                  <w:tcW w:w="4561" w:type="dxa"/>
                  <w:vAlign w:val="center"/>
                </w:tcPr>
                <w:p w14:paraId="577A3D5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subsample</w:t>
                  </w:r>
                </w:p>
              </w:tc>
              <w:tc>
                <w:tcPr>
                  <w:tcW w:w="4561" w:type="dxa"/>
                  <w:vAlign w:val="center"/>
                </w:tcPr>
                <w:p w14:paraId="7C7162E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0.8</w:t>
                  </w:r>
                </w:p>
              </w:tc>
            </w:tr>
            <w:tr w14:paraId="3A87A8CB">
              <w:tblPrEx>
                <w:tblCellMar>
                  <w:top w:w="0" w:type="dxa"/>
                  <w:left w:w="108" w:type="dxa"/>
                  <w:bottom w:w="0" w:type="dxa"/>
                  <w:right w:w="108" w:type="dxa"/>
                </w:tblCellMar>
              </w:tblPrEx>
              <w:trPr>
                <w:jc w:val="center"/>
              </w:trPr>
              <w:tc>
                <w:tcPr>
                  <w:tcW w:w="4561" w:type="dxa"/>
                  <w:vAlign w:val="center"/>
                </w:tcPr>
                <w:p w14:paraId="34AF45E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colsample_bytree</w:t>
                  </w:r>
                </w:p>
              </w:tc>
              <w:tc>
                <w:tcPr>
                  <w:tcW w:w="4561" w:type="dxa"/>
                  <w:vAlign w:val="center"/>
                </w:tcPr>
                <w:p w14:paraId="6F5C075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0.8</w:t>
                  </w:r>
                </w:p>
              </w:tc>
            </w:tr>
            <w:tr w14:paraId="0DD2E390">
              <w:tblPrEx>
                <w:tblCellMar>
                  <w:top w:w="0" w:type="dxa"/>
                  <w:left w:w="108" w:type="dxa"/>
                  <w:bottom w:w="0" w:type="dxa"/>
                  <w:right w:w="108" w:type="dxa"/>
                </w:tblCellMar>
              </w:tblPrEx>
              <w:trPr>
                <w:jc w:val="center"/>
              </w:trPr>
              <w:tc>
                <w:tcPr>
                  <w:tcW w:w="4561" w:type="dxa"/>
                  <w:vAlign w:val="center"/>
                </w:tcPr>
                <w:p w14:paraId="2A345DF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min_child_weight</w:t>
                  </w:r>
                </w:p>
              </w:tc>
              <w:tc>
                <w:tcPr>
                  <w:tcW w:w="4561" w:type="dxa"/>
                  <w:vAlign w:val="center"/>
                </w:tcPr>
                <w:p w14:paraId="0FCE544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w:t>
                  </w:r>
                </w:p>
              </w:tc>
            </w:tr>
          </w:tbl>
          <w:p w14:paraId="61473E79">
            <w:pPr>
              <w:rPr>
                <w:rFonts w:hint="default" w:ascii="Times New Roman" w:hAnsi="Times New Roman" w:eastAsia="宋体" w:cs="Times New Roman"/>
              </w:rPr>
            </w:pPr>
          </w:p>
          <w:p w14:paraId="688BF2B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对应的扩展窗口样本外评估结果如下：</w:t>
            </w:r>
          </w:p>
          <w:tbl>
            <w:tblPr>
              <w:tblStyle w:val="5"/>
              <w:tblW w:w="0" w:type="auto"/>
              <w:jc w:val="center"/>
              <w:tblLayout w:type="fixed"/>
              <w:tblCellMar>
                <w:top w:w="0" w:type="dxa"/>
                <w:left w:w="108" w:type="dxa"/>
                <w:bottom w:w="0" w:type="dxa"/>
                <w:right w:w="108" w:type="dxa"/>
              </w:tblCellMar>
            </w:tblPr>
            <w:tblGrid>
              <w:gridCol w:w="4561"/>
              <w:gridCol w:w="4561"/>
            </w:tblGrid>
            <w:tr w14:paraId="06E9657A">
              <w:tblPrEx>
                <w:tblCellMar>
                  <w:top w:w="0" w:type="dxa"/>
                  <w:left w:w="108" w:type="dxa"/>
                  <w:bottom w:w="0" w:type="dxa"/>
                  <w:right w:w="108" w:type="dxa"/>
                </w:tblCellMar>
              </w:tblPrEx>
              <w:trPr>
                <w:jc w:val="center"/>
              </w:trPr>
              <w:tc>
                <w:tcPr>
                  <w:tcW w:w="4561" w:type="dxa"/>
                  <w:vAlign w:val="center"/>
                </w:tcPr>
                <w:p w14:paraId="3FD1236D">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4561" w:type="dxa"/>
                  <w:vAlign w:val="center"/>
                </w:tcPr>
                <w:p w14:paraId="5936FDAC">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数值</w:t>
                  </w:r>
                </w:p>
              </w:tc>
            </w:tr>
            <w:tr w14:paraId="7A4335E2">
              <w:tblPrEx>
                <w:tblCellMar>
                  <w:top w:w="0" w:type="dxa"/>
                  <w:left w:w="108" w:type="dxa"/>
                  <w:bottom w:w="0" w:type="dxa"/>
                  <w:right w:w="108" w:type="dxa"/>
                </w:tblCellMar>
              </w:tblPrEx>
              <w:trPr>
                <w:jc w:val="center"/>
              </w:trPr>
              <w:tc>
                <w:tcPr>
                  <w:tcW w:w="4561" w:type="dxa"/>
                  <w:vAlign w:val="center"/>
                </w:tcPr>
                <w:p w14:paraId="094402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总预测样本数</w:t>
                  </w:r>
                </w:p>
              </w:tc>
              <w:tc>
                <w:tcPr>
                  <w:tcW w:w="4561" w:type="dxa"/>
                  <w:vAlign w:val="center"/>
                </w:tcPr>
                <w:p w14:paraId="30DA9C6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340</w:t>
                  </w:r>
                </w:p>
              </w:tc>
            </w:tr>
            <w:tr w14:paraId="5E1E3F5D">
              <w:tblPrEx>
                <w:tblCellMar>
                  <w:top w:w="0" w:type="dxa"/>
                  <w:left w:w="108" w:type="dxa"/>
                  <w:bottom w:w="0" w:type="dxa"/>
                  <w:right w:w="108" w:type="dxa"/>
                </w:tblCellMar>
              </w:tblPrEx>
              <w:trPr>
                <w:jc w:val="center"/>
              </w:trPr>
              <w:tc>
                <w:tcPr>
                  <w:tcW w:w="4561" w:type="dxa"/>
                  <w:vAlign w:val="center"/>
                </w:tcPr>
                <w:p w14:paraId="3452AA7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扩展窗口准确率</w:t>
                  </w:r>
                </w:p>
              </w:tc>
              <w:tc>
                <w:tcPr>
                  <w:tcW w:w="4561" w:type="dxa"/>
                  <w:vAlign w:val="center"/>
                </w:tcPr>
                <w:p w14:paraId="2DA6428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52.35%</w:t>
                  </w:r>
                </w:p>
              </w:tc>
            </w:tr>
            <w:tr w14:paraId="779E216F">
              <w:tblPrEx>
                <w:tblCellMar>
                  <w:top w:w="0" w:type="dxa"/>
                  <w:left w:w="108" w:type="dxa"/>
                  <w:bottom w:w="0" w:type="dxa"/>
                  <w:right w:w="108" w:type="dxa"/>
                </w:tblCellMar>
              </w:tblPrEx>
              <w:trPr>
                <w:jc w:val="center"/>
              </w:trPr>
              <w:tc>
                <w:tcPr>
                  <w:tcW w:w="4561" w:type="dxa"/>
                  <w:vAlign w:val="center"/>
                </w:tcPr>
                <w:p w14:paraId="4D09EB9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扩展窗口基线准确率</w:t>
                  </w:r>
                </w:p>
              </w:tc>
              <w:tc>
                <w:tcPr>
                  <w:tcW w:w="4561" w:type="dxa"/>
                  <w:vAlign w:val="center"/>
                </w:tcPr>
                <w:p w14:paraId="5972CE3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62.94%</w:t>
                  </w:r>
                </w:p>
              </w:tc>
            </w:tr>
            <w:tr w14:paraId="58B3A678">
              <w:tblPrEx>
                <w:tblCellMar>
                  <w:top w:w="0" w:type="dxa"/>
                  <w:left w:w="108" w:type="dxa"/>
                  <w:bottom w:w="0" w:type="dxa"/>
                  <w:right w:w="108" w:type="dxa"/>
                </w:tblCellMar>
              </w:tblPrEx>
              <w:trPr>
                <w:jc w:val="center"/>
              </w:trPr>
              <w:tc>
                <w:tcPr>
                  <w:tcW w:w="4561" w:type="dxa"/>
                  <w:vAlign w:val="center"/>
                </w:tcPr>
                <w:p w14:paraId="77595A6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Accuracy Lift</w:t>
                  </w:r>
                </w:p>
              </w:tc>
              <w:tc>
                <w:tcPr>
                  <w:tcW w:w="4561" w:type="dxa"/>
                  <w:vAlign w:val="center"/>
                </w:tcPr>
                <w:p w14:paraId="4B05ACD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-10.59 个百分点</w:t>
                  </w:r>
                </w:p>
              </w:tc>
            </w:tr>
            <w:tr w14:paraId="51CB0B98">
              <w:tblPrEx>
                <w:tblCellMar>
                  <w:top w:w="0" w:type="dxa"/>
                  <w:left w:w="108" w:type="dxa"/>
                  <w:bottom w:w="0" w:type="dxa"/>
                  <w:right w:w="108" w:type="dxa"/>
                </w:tblCellMar>
              </w:tblPrEx>
              <w:trPr>
                <w:jc w:val="center"/>
              </w:trPr>
              <w:tc>
                <w:tcPr>
                  <w:tcW w:w="4561" w:type="dxa"/>
                  <w:vAlign w:val="center"/>
                </w:tcPr>
                <w:p w14:paraId="7C6A7D7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精确率</w:t>
                  </w:r>
                </w:p>
              </w:tc>
              <w:tc>
                <w:tcPr>
                  <w:tcW w:w="4561" w:type="dxa"/>
                  <w:vAlign w:val="center"/>
                </w:tcPr>
                <w:p w14:paraId="7492FBF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63.83%</w:t>
                  </w:r>
                </w:p>
              </w:tc>
            </w:tr>
            <w:tr w14:paraId="02EA7D38">
              <w:tblPrEx>
                <w:tblCellMar>
                  <w:top w:w="0" w:type="dxa"/>
                  <w:left w:w="108" w:type="dxa"/>
                  <w:bottom w:w="0" w:type="dxa"/>
                  <w:right w:w="108" w:type="dxa"/>
                </w:tblCellMar>
              </w:tblPrEx>
              <w:trPr>
                <w:jc w:val="center"/>
              </w:trPr>
              <w:tc>
                <w:tcPr>
                  <w:tcW w:w="4561" w:type="dxa"/>
                  <w:vAlign w:val="center"/>
                </w:tcPr>
                <w:p w14:paraId="5FDA1DC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召回率</w:t>
                  </w:r>
                </w:p>
              </w:tc>
              <w:tc>
                <w:tcPr>
                  <w:tcW w:w="4561" w:type="dxa"/>
                  <w:vAlign w:val="center"/>
                </w:tcPr>
                <w:p w14:paraId="1E1A7DB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56.07%</w:t>
                  </w:r>
                </w:p>
              </w:tc>
            </w:tr>
            <w:tr w14:paraId="1377BC86">
              <w:tblPrEx>
                <w:tblCellMar>
                  <w:top w:w="0" w:type="dxa"/>
                  <w:left w:w="108" w:type="dxa"/>
                  <w:bottom w:w="0" w:type="dxa"/>
                  <w:right w:w="108" w:type="dxa"/>
                </w:tblCellMar>
              </w:tblPrEx>
              <w:trPr>
                <w:jc w:val="center"/>
              </w:trPr>
              <w:tc>
                <w:tcPr>
                  <w:tcW w:w="4561" w:type="dxa"/>
                  <w:vAlign w:val="center"/>
                </w:tcPr>
                <w:p w14:paraId="6BCB245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F1 值</w:t>
                  </w:r>
                </w:p>
              </w:tc>
              <w:tc>
                <w:tcPr>
                  <w:tcW w:w="4561" w:type="dxa"/>
                  <w:vAlign w:val="center"/>
                </w:tcPr>
                <w:p w14:paraId="44D738E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59.70%</w:t>
                  </w:r>
                </w:p>
              </w:tc>
            </w:tr>
            <w:tr w14:paraId="7A0A4155">
              <w:tblPrEx>
                <w:tblCellMar>
                  <w:top w:w="0" w:type="dxa"/>
                  <w:left w:w="108" w:type="dxa"/>
                  <w:bottom w:w="0" w:type="dxa"/>
                  <w:right w:w="108" w:type="dxa"/>
                </w:tblCellMar>
              </w:tblPrEx>
              <w:trPr>
                <w:jc w:val="center"/>
              </w:trPr>
              <w:tc>
                <w:tcPr>
                  <w:tcW w:w="4561" w:type="dxa"/>
                  <w:vAlign w:val="center"/>
                </w:tcPr>
                <w:p w14:paraId="0A5E835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ROC-AUC</w:t>
                  </w:r>
                </w:p>
              </w:tc>
              <w:tc>
                <w:tcPr>
                  <w:tcW w:w="4561" w:type="dxa"/>
                  <w:vAlign w:val="center"/>
                </w:tcPr>
                <w:p w14:paraId="68B2250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0.4999</w:t>
                  </w:r>
                </w:p>
              </w:tc>
            </w:tr>
          </w:tbl>
          <w:p w14:paraId="3B4C124E">
            <w:pPr>
              <w:rPr>
                <w:rFonts w:hint="default" w:ascii="Times New Roman" w:hAnsi="Times New Roman" w:eastAsia="宋体" w:cs="Times New Roman"/>
              </w:rPr>
            </w:pPr>
          </w:p>
          <w:p w14:paraId="51D090BD">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4.5.3 AUC 优先实验结果（2026-05-03）</w:t>
            </w:r>
          </w:p>
          <w:p w14:paraId="2EF8CDD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为了更准确地判断模型的概率输出是否具备排序能力，项目在原有准确率导向实验之外，进一步补充了以 ROC-AUC 为核心指标的对照实验。其出发点是：如果模型在硬分类准确率上表现一般，但能够对“更可能上涨”的样本给出更高概率，那么这种排序能力仍可能具有一定研究价值。</w:t>
            </w:r>
          </w:p>
          <w:p w14:paraId="10099018">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从已有结果看，MU 股票 T+5 任务在扩展窗口搜索中的 ROC-AUC 仅为 0.4999，几乎等同于随机猜测。进一步分析后，项目认为造成该现象的主要原因有以下两点：</w:t>
            </w:r>
          </w:p>
          <w:p w14:paraId="125CF568">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标签噪声主导预测目标。原始二分类标签 direction_t5 将"未来 T+5 收盘价上涨"标为 1，下跌标为 0，不区分涨幅大小。在金融数据中，小幅涨跌（±1% 以内）占据了相当比例的样本，这些样本的标签实际上与随机噪声无异——它们的特征与标签之间不存在稳定映射关系。当这部分中性样本混入训练集时，模型无法学习到有效模式，只能输出接近 0.5 的概率。</w:t>
            </w:r>
          </w:p>
          <w:p w14:paraId="501ACB12">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排序指标对噪声更敏感。准确率只关心硬分类是否正确，AUC 则衡量样本排序质量。当标签中约 30%~40% 为噪声样本时，模型即使对非噪声样本有较好的排序能力，也会被噪声样本的随机排序拉低整体 AUC。</w:t>
            </w:r>
          </w:p>
          <w:p w14:paraId="247B5D5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基于上述判断，2026-05-03 的实验对流程做了三项针对性调整：</w:t>
            </w:r>
          </w:p>
          <w:p w14:paraId="1025866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新增低噪声标签用于对照实验：在原有 target_t5 方向标签之外，额外增加 target_up_big_t5（T+5 涨幅 &gt;3% 为正例）等标签，用于弱化小幅震荡样本带来的噪声，并观察标签定义变化对排序能力的影响。这里的重点是“增加对照口径”，而不是直接替换主报告中的原始方向标签。</w:t>
            </w:r>
          </w:p>
          <w:p w14:paraId="729D70B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AUC 优先搜索指标：将实验和参数搜索的候选排序目标从准确率改为 ROC-AUC，优先观察概率排序能力而非硬分类准确率。在 search_xgboost_params 中新增 --metric roc_auc 选项，使搜索结果可以按 AUC 排序。</w:t>
            </w:r>
          </w:p>
          <w:p w14:paraId="32A14C68">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保留概率输出：扩展窗口交叉验证过程中保留预测概率，并据此计算 ROC-AUC，而不是只依赖阈值化后的硬标签准确率。</w:t>
            </w:r>
          </w:p>
          <w:p w14:paraId="011A7A6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此外，项目还在标签构造阶段补充了 1%/2%/3% 多档未来收益阈值标签，为比较不同噪声水平下的模型表现提供了统一实验基础。</w:t>
            </w:r>
          </w:p>
          <w:p w14:paraId="248161F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为避免不同预测周期、不同模型和不同特征集混在一起造成解释歧义，下面先给出与 MU 股票 T+5 任务最直接相关的结果，再概括整体实验现象。</w:t>
            </w:r>
          </w:p>
          <w:p w14:paraId="0CEF9CF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MU 股票 T+5 任务的代表性 AUC 对照如下：</w:t>
            </w:r>
          </w:p>
          <w:tbl>
            <w:tblPr>
              <w:tblStyle w:val="5"/>
              <w:tblW w:w="0" w:type="auto"/>
              <w:jc w:val="center"/>
              <w:tblLayout w:type="fixed"/>
              <w:tblCellMar>
                <w:top w:w="0" w:type="dxa"/>
                <w:left w:w="108" w:type="dxa"/>
                <w:bottom w:w="0" w:type="dxa"/>
                <w:right w:w="108" w:type="dxa"/>
              </w:tblCellMar>
            </w:tblPr>
            <w:tblGrid>
              <w:gridCol w:w="1303"/>
              <w:gridCol w:w="1303"/>
              <w:gridCol w:w="1303"/>
              <w:gridCol w:w="1303"/>
              <w:gridCol w:w="1303"/>
              <w:gridCol w:w="1303"/>
              <w:gridCol w:w="1303"/>
            </w:tblGrid>
            <w:tr w14:paraId="6069F50F">
              <w:tblPrEx>
                <w:tblCellMar>
                  <w:top w:w="0" w:type="dxa"/>
                  <w:left w:w="108" w:type="dxa"/>
                  <w:bottom w:w="0" w:type="dxa"/>
                  <w:right w:w="108" w:type="dxa"/>
                </w:tblCellMar>
              </w:tblPrEx>
              <w:trPr>
                <w:jc w:val="center"/>
              </w:trPr>
              <w:tc>
                <w:tcPr>
                  <w:tcW w:w="1303" w:type="dxa"/>
                  <w:vAlign w:val="center"/>
                </w:tcPr>
                <w:p w14:paraId="7BEED61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目标标签</w:t>
                  </w:r>
                </w:p>
              </w:tc>
              <w:tc>
                <w:tcPr>
                  <w:tcW w:w="1303" w:type="dxa"/>
                  <w:vAlign w:val="center"/>
                </w:tcPr>
                <w:p w14:paraId="4BF6B9C9">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特征集</w:t>
                  </w:r>
                </w:p>
              </w:tc>
              <w:tc>
                <w:tcPr>
                  <w:tcW w:w="1303" w:type="dxa"/>
                  <w:vAlign w:val="center"/>
                </w:tcPr>
                <w:p w14:paraId="05CFE739">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模型</w:t>
                  </w:r>
                </w:p>
              </w:tc>
              <w:tc>
                <w:tcPr>
                  <w:tcW w:w="1303" w:type="dxa"/>
                  <w:vAlign w:val="center"/>
                </w:tcPr>
                <w:p w14:paraId="02A7D33E">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AUC</w:t>
                  </w:r>
                </w:p>
              </w:tc>
              <w:tc>
                <w:tcPr>
                  <w:tcW w:w="1303" w:type="dxa"/>
                  <w:vAlign w:val="center"/>
                </w:tcPr>
                <w:p w14:paraId="319ED30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准确率</w:t>
                  </w:r>
                </w:p>
              </w:tc>
              <w:tc>
                <w:tcPr>
                  <w:tcW w:w="1303" w:type="dxa"/>
                  <w:vAlign w:val="center"/>
                </w:tcPr>
                <w:p w14:paraId="0C6A5FF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基线</w:t>
                  </w:r>
                </w:p>
              </w:tc>
              <w:tc>
                <w:tcPr>
                  <w:tcW w:w="1303" w:type="dxa"/>
                  <w:vAlign w:val="center"/>
                </w:tcPr>
                <w:p w14:paraId="7CFA74C0">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Lift</w:t>
                  </w:r>
                </w:p>
              </w:tc>
            </w:tr>
            <w:tr w14:paraId="10500577">
              <w:tblPrEx>
                <w:tblCellMar>
                  <w:top w:w="0" w:type="dxa"/>
                  <w:left w:w="108" w:type="dxa"/>
                  <w:bottom w:w="0" w:type="dxa"/>
                  <w:right w:w="108" w:type="dxa"/>
                </w:tblCellMar>
              </w:tblPrEx>
              <w:trPr>
                <w:jc w:val="center"/>
              </w:trPr>
              <w:tc>
                <w:tcPr>
                  <w:tcW w:w="1303" w:type="dxa"/>
                  <w:vAlign w:val="center"/>
                </w:tcPr>
                <w:p w14:paraId="15A7F9F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direction_t5</w:t>
                  </w:r>
                </w:p>
              </w:tc>
              <w:tc>
                <w:tcPr>
                  <w:tcW w:w="1303" w:type="dxa"/>
                  <w:vAlign w:val="center"/>
                </w:tcPr>
                <w:p w14:paraId="708E03B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扩展窗口搜索最优配置</w:t>
                  </w:r>
                </w:p>
              </w:tc>
              <w:tc>
                <w:tcPr>
                  <w:tcW w:w="1303" w:type="dxa"/>
                  <w:vAlign w:val="center"/>
                </w:tcPr>
                <w:p w14:paraId="3A12AD1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1303" w:type="dxa"/>
                  <w:vAlign w:val="center"/>
                </w:tcPr>
                <w:p w14:paraId="55EE8B9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0.4999</w:t>
                  </w:r>
                </w:p>
              </w:tc>
              <w:tc>
                <w:tcPr>
                  <w:tcW w:w="1303" w:type="dxa"/>
                  <w:vAlign w:val="center"/>
                </w:tcPr>
                <w:p w14:paraId="45D7AFA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52.35%</w:t>
                  </w:r>
                </w:p>
              </w:tc>
              <w:tc>
                <w:tcPr>
                  <w:tcW w:w="1303" w:type="dxa"/>
                  <w:vAlign w:val="center"/>
                </w:tcPr>
                <w:p w14:paraId="4955591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62.94%</w:t>
                  </w:r>
                </w:p>
              </w:tc>
              <w:tc>
                <w:tcPr>
                  <w:tcW w:w="1303" w:type="dxa"/>
                  <w:vAlign w:val="center"/>
                </w:tcPr>
                <w:p w14:paraId="5FDCD07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-10.59pp</w:t>
                  </w:r>
                </w:p>
              </w:tc>
            </w:tr>
            <w:tr w14:paraId="0F3AF288">
              <w:tblPrEx>
                <w:tblCellMar>
                  <w:top w:w="0" w:type="dxa"/>
                  <w:left w:w="108" w:type="dxa"/>
                  <w:bottom w:w="0" w:type="dxa"/>
                  <w:right w:w="108" w:type="dxa"/>
                </w:tblCellMar>
              </w:tblPrEx>
              <w:trPr>
                <w:jc w:val="center"/>
              </w:trPr>
              <w:tc>
                <w:tcPr>
                  <w:tcW w:w="1303" w:type="dxa"/>
                  <w:vAlign w:val="center"/>
                </w:tcPr>
                <w:p w14:paraId="04F7A83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303" w:type="dxa"/>
                  <w:vAlign w:val="center"/>
                </w:tcPr>
                <w:p w14:paraId="692D048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v2_market</w:t>
                  </w:r>
                </w:p>
              </w:tc>
              <w:tc>
                <w:tcPr>
                  <w:tcW w:w="1303" w:type="dxa"/>
                  <w:vAlign w:val="center"/>
                </w:tcPr>
                <w:p w14:paraId="5480723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1303" w:type="dxa"/>
                  <w:vAlign w:val="center"/>
                </w:tcPr>
                <w:p w14:paraId="61F359A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0.517</w:t>
                  </w:r>
                </w:p>
              </w:tc>
              <w:tc>
                <w:tcPr>
                  <w:tcW w:w="1303" w:type="dxa"/>
                  <w:vAlign w:val="center"/>
                </w:tcPr>
                <w:p w14:paraId="25D76C8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51.6%</w:t>
                  </w:r>
                </w:p>
              </w:tc>
              <w:tc>
                <w:tcPr>
                  <w:tcW w:w="1303" w:type="dxa"/>
                  <w:vAlign w:val="center"/>
                </w:tcPr>
                <w:p w14:paraId="3C47FC3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50.4%</w:t>
                  </w:r>
                </w:p>
              </w:tc>
              <w:tc>
                <w:tcPr>
                  <w:tcW w:w="1303" w:type="dxa"/>
                  <w:vAlign w:val="center"/>
                </w:tcPr>
                <w:p w14:paraId="7B5BC38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+1.2pp</w:t>
                  </w:r>
                </w:p>
              </w:tc>
            </w:tr>
            <w:tr w14:paraId="22D7D265">
              <w:tblPrEx>
                <w:tblCellMar>
                  <w:top w:w="0" w:type="dxa"/>
                  <w:left w:w="108" w:type="dxa"/>
                  <w:bottom w:w="0" w:type="dxa"/>
                  <w:right w:w="108" w:type="dxa"/>
                </w:tblCellMar>
              </w:tblPrEx>
              <w:trPr>
                <w:jc w:val="center"/>
              </w:trPr>
              <w:tc>
                <w:tcPr>
                  <w:tcW w:w="1303" w:type="dxa"/>
                  <w:vAlign w:val="center"/>
                </w:tcPr>
                <w:p w14:paraId="77A793D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303" w:type="dxa"/>
                  <w:vAlign w:val="center"/>
                </w:tcPr>
                <w:p w14:paraId="40B7812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w:t>
                  </w:r>
                </w:p>
              </w:tc>
              <w:tc>
                <w:tcPr>
                  <w:tcW w:w="1303" w:type="dxa"/>
                  <w:vAlign w:val="center"/>
                </w:tcPr>
                <w:p w14:paraId="6DC9B6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1303" w:type="dxa"/>
                  <w:vAlign w:val="center"/>
                </w:tcPr>
                <w:p w14:paraId="03CE912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0.509</w:t>
                  </w:r>
                </w:p>
              </w:tc>
              <w:tc>
                <w:tcPr>
                  <w:tcW w:w="1303" w:type="dxa"/>
                  <w:vAlign w:val="center"/>
                </w:tcPr>
                <w:p w14:paraId="5E8369E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51.3%</w:t>
                  </w:r>
                </w:p>
              </w:tc>
              <w:tc>
                <w:tcPr>
                  <w:tcW w:w="1303" w:type="dxa"/>
                  <w:vAlign w:val="center"/>
                </w:tcPr>
                <w:p w14:paraId="6663088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50.4%</w:t>
                  </w:r>
                </w:p>
              </w:tc>
              <w:tc>
                <w:tcPr>
                  <w:tcW w:w="1303" w:type="dxa"/>
                  <w:vAlign w:val="center"/>
                </w:tcPr>
                <w:p w14:paraId="7C4E757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+0.9pp</w:t>
                  </w:r>
                </w:p>
              </w:tc>
            </w:tr>
          </w:tbl>
          <w:p w14:paraId="520E31C0">
            <w:pPr>
              <w:rPr>
                <w:rFonts w:hint="default" w:ascii="Times New Roman" w:hAnsi="Times New Roman" w:eastAsia="宋体" w:cs="Times New Roman"/>
              </w:rPr>
            </w:pPr>
          </w:p>
          <w:p w14:paraId="56C53E1B">
            <w:pPr>
              <w:spacing w:before="0" w:after="120" w:line="360" w:lineRule="auto"/>
              <w:ind w:firstLine="476"/>
              <w:jc w:val="left"/>
              <w:rPr>
                <w:rFonts w:hint="default" w:ascii="Times New Roman" w:hAnsi="Times New Roman" w:eastAsia="宋体" w:cs="Times New Roman"/>
              </w:rPr>
            </w:pPr>
            <w:r>
              <w:rPr>
                <w:rFonts w:hint="default" w:ascii="Times New Roman" w:hAnsi="Times New Roman" w:eastAsia="宋体" w:cs="Times New Roman"/>
                <w:b w:val="0"/>
                <w:i w:val="0"/>
                <w:sz w:val="24"/>
              </w:rPr>
              <w:t>此外，跨任务 Top 5 结果如下，用于说明 AUC 改进并不只出现在单一组合中：</w:t>
            </w:r>
          </w:p>
          <w:tbl>
            <w:tblPr>
              <w:tblStyle w:val="5"/>
              <w:tblW w:w="0" w:type="auto"/>
              <w:jc w:val="center"/>
              <w:tblLayout w:type="fixed"/>
              <w:tblCellMar>
                <w:top w:w="0" w:type="dxa"/>
                <w:left w:w="108" w:type="dxa"/>
                <w:bottom w:w="0" w:type="dxa"/>
                <w:right w:w="108" w:type="dxa"/>
              </w:tblCellMar>
            </w:tblPr>
            <w:tblGrid>
              <w:gridCol w:w="1140"/>
              <w:gridCol w:w="1140"/>
              <w:gridCol w:w="1140"/>
              <w:gridCol w:w="1140"/>
              <w:gridCol w:w="1140"/>
              <w:gridCol w:w="1140"/>
              <w:gridCol w:w="1140"/>
              <w:gridCol w:w="1140"/>
            </w:tblGrid>
            <w:tr w14:paraId="7A0FBB2E">
              <w:tblPrEx>
                <w:tblCellMar>
                  <w:top w:w="0" w:type="dxa"/>
                  <w:left w:w="108" w:type="dxa"/>
                  <w:bottom w:w="0" w:type="dxa"/>
                  <w:right w:w="108" w:type="dxa"/>
                </w:tblCellMar>
              </w:tblPrEx>
              <w:trPr>
                <w:jc w:val="center"/>
              </w:trPr>
              <w:tc>
                <w:tcPr>
                  <w:tcW w:w="1140" w:type="dxa"/>
                  <w:vAlign w:val="center"/>
                </w:tcPr>
                <w:p w14:paraId="1CDCB032">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目标标签</w:t>
                  </w:r>
                </w:p>
              </w:tc>
              <w:tc>
                <w:tcPr>
                  <w:tcW w:w="1140" w:type="dxa"/>
                  <w:vAlign w:val="center"/>
                </w:tcPr>
                <w:p w14:paraId="35CA0E34">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特征集</w:t>
                  </w:r>
                </w:p>
              </w:tc>
              <w:tc>
                <w:tcPr>
                  <w:tcW w:w="1140" w:type="dxa"/>
                  <w:vAlign w:val="center"/>
                </w:tcPr>
                <w:p w14:paraId="53EA8E89">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模型</w:t>
                  </w:r>
                </w:p>
              </w:tc>
              <w:tc>
                <w:tcPr>
                  <w:tcW w:w="1140" w:type="dxa"/>
                  <w:vAlign w:val="center"/>
                </w:tcPr>
                <w:p w14:paraId="1C9B5304">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股票</w:t>
                  </w:r>
                </w:p>
              </w:tc>
              <w:tc>
                <w:tcPr>
                  <w:tcW w:w="1140" w:type="dxa"/>
                  <w:vAlign w:val="center"/>
                </w:tcPr>
                <w:p w14:paraId="65336814">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AUC</w:t>
                  </w:r>
                </w:p>
              </w:tc>
              <w:tc>
                <w:tcPr>
                  <w:tcW w:w="1140" w:type="dxa"/>
                  <w:vAlign w:val="center"/>
                </w:tcPr>
                <w:p w14:paraId="1C18CCE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准确率</w:t>
                  </w:r>
                </w:p>
              </w:tc>
              <w:tc>
                <w:tcPr>
                  <w:tcW w:w="1140" w:type="dxa"/>
                  <w:vAlign w:val="center"/>
                </w:tcPr>
                <w:p w14:paraId="6F7F6762">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基线</w:t>
                  </w:r>
                </w:p>
              </w:tc>
              <w:tc>
                <w:tcPr>
                  <w:tcW w:w="1140" w:type="dxa"/>
                  <w:vAlign w:val="center"/>
                </w:tcPr>
                <w:p w14:paraId="5276B68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Lift</w:t>
                  </w:r>
                </w:p>
              </w:tc>
            </w:tr>
            <w:tr w14:paraId="66DB0117">
              <w:tblPrEx>
                <w:tblCellMar>
                  <w:top w:w="0" w:type="dxa"/>
                  <w:left w:w="108" w:type="dxa"/>
                  <w:bottom w:w="0" w:type="dxa"/>
                  <w:right w:w="108" w:type="dxa"/>
                </w:tblCellMar>
              </w:tblPrEx>
              <w:trPr>
                <w:jc w:val="center"/>
              </w:trPr>
              <w:tc>
                <w:tcPr>
                  <w:tcW w:w="1140" w:type="dxa"/>
                  <w:vAlign w:val="center"/>
                </w:tcPr>
                <w:p w14:paraId="370E1F8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140" w:type="dxa"/>
                  <w:vAlign w:val="center"/>
                </w:tcPr>
                <w:p w14:paraId="7E63101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w:t>
                  </w:r>
                </w:p>
              </w:tc>
              <w:tc>
                <w:tcPr>
                  <w:tcW w:w="1140" w:type="dxa"/>
                  <w:vAlign w:val="center"/>
                </w:tcPr>
                <w:p w14:paraId="29BA59A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LightGBM</w:t>
                  </w:r>
                </w:p>
              </w:tc>
              <w:tc>
                <w:tcPr>
                  <w:tcW w:w="1140" w:type="dxa"/>
                  <w:vAlign w:val="center"/>
                </w:tcPr>
                <w:p w14:paraId="001AFFA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AAPL</w:t>
                  </w:r>
                </w:p>
              </w:tc>
              <w:tc>
                <w:tcPr>
                  <w:tcW w:w="1140" w:type="dxa"/>
                  <w:vAlign w:val="center"/>
                </w:tcPr>
                <w:p w14:paraId="745337E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0.6449</w:t>
                  </w:r>
                </w:p>
              </w:tc>
              <w:tc>
                <w:tcPr>
                  <w:tcW w:w="1140" w:type="dxa"/>
                  <w:vAlign w:val="center"/>
                </w:tcPr>
                <w:p w14:paraId="38F1B3A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77.4%</w:t>
                  </w:r>
                </w:p>
              </w:tc>
              <w:tc>
                <w:tcPr>
                  <w:tcW w:w="1140" w:type="dxa"/>
                  <w:vAlign w:val="center"/>
                </w:tcPr>
                <w:p w14:paraId="3EDEE34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77.6%</w:t>
                  </w:r>
                </w:p>
              </w:tc>
              <w:tc>
                <w:tcPr>
                  <w:tcW w:w="1140" w:type="dxa"/>
                  <w:vAlign w:val="center"/>
                </w:tcPr>
                <w:p w14:paraId="27F494A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-0.2pp</w:t>
                  </w:r>
                </w:p>
              </w:tc>
            </w:tr>
            <w:tr w14:paraId="0F4E2403">
              <w:tblPrEx>
                <w:tblCellMar>
                  <w:top w:w="0" w:type="dxa"/>
                  <w:left w:w="108" w:type="dxa"/>
                  <w:bottom w:w="0" w:type="dxa"/>
                  <w:right w:w="108" w:type="dxa"/>
                </w:tblCellMar>
              </w:tblPrEx>
              <w:trPr>
                <w:jc w:val="center"/>
              </w:trPr>
              <w:tc>
                <w:tcPr>
                  <w:tcW w:w="1140" w:type="dxa"/>
                  <w:vAlign w:val="center"/>
                </w:tcPr>
                <w:p w14:paraId="7059CC8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up_big_1pct (t1)</w:t>
                  </w:r>
                </w:p>
              </w:tc>
              <w:tc>
                <w:tcPr>
                  <w:tcW w:w="1140" w:type="dxa"/>
                  <w:vAlign w:val="center"/>
                </w:tcPr>
                <w:p w14:paraId="67E5B4B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w:t>
                  </w:r>
                </w:p>
              </w:tc>
              <w:tc>
                <w:tcPr>
                  <w:tcW w:w="1140" w:type="dxa"/>
                  <w:vAlign w:val="center"/>
                </w:tcPr>
                <w:p w14:paraId="2AC8B55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RF</w:t>
                  </w:r>
                </w:p>
              </w:tc>
              <w:tc>
                <w:tcPr>
                  <w:tcW w:w="1140" w:type="dxa"/>
                  <w:vAlign w:val="center"/>
                </w:tcPr>
                <w:p w14:paraId="7A57D74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跨股票</w:t>
                  </w:r>
                </w:p>
              </w:tc>
              <w:tc>
                <w:tcPr>
                  <w:tcW w:w="1140" w:type="dxa"/>
                  <w:vAlign w:val="center"/>
                </w:tcPr>
                <w:p w14:paraId="13E9177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0.535</w:t>
                  </w:r>
                </w:p>
              </w:tc>
              <w:tc>
                <w:tcPr>
                  <w:tcW w:w="1140" w:type="dxa"/>
                  <w:vAlign w:val="center"/>
                </w:tcPr>
                <w:p w14:paraId="48A2556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56.9%</w:t>
                  </w:r>
                </w:p>
              </w:tc>
              <w:tc>
                <w:tcPr>
                  <w:tcW w:w="1140" w:type="dxa"/>
                  <w:vAlign w:val="center"/>
                </w:tcPr>
                <w:p w14:paraId="793918E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59.0%</w:t>
                  </w:r>
                </w:p>
              </w:tc>
              <w:tc>
                <w:tcPr>
                  <w:tcW w:w="1140" w:type="dxa"/>
                  <w:vAlign w:val="center"/>
                </w:tcPr>
                <w:p w14:paraId="59C60BB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-2.1pp</w:t>
                  </w:r>
                </w:p>
              </w:tc>
            </w:tr>
            <w:tr w14:paraId="3E61DAD6">
              <w:tblPrEx>
                <w:tblCellMar>
                  <w:top w:w="0" w:type="dxa"/>
                  <w:left w:w="108" w:type="dxa"/>
                  <w:bottom w:w="0" w:type="dxa"/>
                  <w:right w:w="108" w:type="dxa"/>
                </w:tblCellMar>
              </w:tblPrEx>
              <w:trPr>
                <w:jc w:val="center"/>
              </w:trPr>
              <w:tc>
                <w:tcPr>
                  <w:tcW w:w="1140" w:type="dxa"/>
                  <w:vAlign w:val="center"/>
                </w:tcPr>
                <w:p w14:paraId="3A2040B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direction_t3</w:t>
                  </w:r>
                </w:p>
              </w:tc>
              <w:tc>
                <w:tcPr>
                  <w:tcW w:w="1140" w:type="dxa"/>
                  <w:vAlign w:val="center"/>
                </w:tcPr>
                <w:p w14:paraId="1AEEC64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v2_full</w:t>
                  </w:r>
                </w:p>
              </w:tc>
              <w:tc>
                <w:tcPr>
                  <w:tcW w:w="1140" w:type="dxa"/>
                  <w:vAlign w:val="center"/>
                </w:tcPr>
                <w:p w14:paraId="1A78C7B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RF</w:t>
                  </w:r>
                </w:p>
              </w:tc>
              <w:tc>
                <w:tcPr>
                  <w:tcW w:w="1140" w:type="dxa"/>
                  <w:vAlign w:val="center"/>
                </w:tcPr>
                <w:p w14:paraId="7741871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跨股票</w:t>
                  </w:r>
                </w:p>
              </w:tc>
              <w:tc>
                <w:tcPr>
                  <w:tcW w:w="1140" w:type="dxa"/>
                  <w:vAlign w:val="center"/>
                </w:tcPr>
                <w:p w14:paraId="5EAA123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0.527</w:t>
                  </w:r>
                </w:p>
              </w:tc>
              <w:tc>
                <w:tcPr>
                  <w:tcW w:w="1140" w:type="dxa"/>
                  <w:vAlign w:val="center"/>
                </w:tcPr>
                <w:p w14:paraId="6AA742D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54.9%</w:t>
                  </w:r>
                </w:p>
              </w:tc>
              <w:tc>
                <w:tcPr>
                  <w:tcW w:w="1140" w:type="dxa"/>
                  <w:vAlign w:val="center"/>
                </w:tcPr>
                <w:p w14:paraId="370692E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59.9%</w:t>
                  </w:r>
                </w:p>
              </w:tc>
              <w:tc>
                <w:tcPr>
                  <w:tcW w:w="1140" w:type="dxa"/>
                  <w:vAlign w:val="center"/>
                </w:tcPr>
                <w:p w14:paraId="3A182C3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-5.0pp</w:t>
                  </w:r>
                </w:p>
              </w:tc>
            </w:tr>
            <w:tr w14:paraId="487C0CE4">
              <w:tblPrEx>
                <w:tblCellMar>
                  <w:top w:w="0" w:type="dxa"/>
                  <w:left w:w="108" w:type="dxa"/>
                  <w:bottom w:w="0" w:type="dxa"/>
                  <w:right w:w="108" w:type="dxa"/>
                </w:tblCellMar>
              </w:tblPrEx>
              <w:trPr>
                <w:jc w:val="center"/>
              </w:trPr>
              <w:tc>
                <w:tcPr>
                  <w:tcW w:w="1140" w:type="dxa"/>
                  <w:vAlign w:val="center"/>
                </w:tcPr>
                <w:p w14:paraId="7F144D5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140" w:type="dxa"/>
                  <w:vAlign w:val="center"/>
                </w:tcPr>
                <w:p w14:paraId="376A4E3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v2_market</w:t>
                  </w:r>
                </w:p>
              </w:tc>
              <w:tc>
                <w:tcPr>
                  <w:tcW w:w="1140" w:type="dxa"/>
                  <w:vAlign w:val="center"/>
                </w:tcPr>
                <w:p w14:paraId="03FC66A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1140" w:type="dxa"/>
                  <w:vAlign w:val="center"/>
                </w:tcPr>
                <w:p w14:paraId="14B659A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MU</w:t>
                  </w:r>
                </w:p>
              </w:tc>
              <w:tc>
                <w:tcPr>
                  <w:tcW w:w="1140" w:type="dxa"/>
                  <w:vAlign w:val="center"/>
                </w:tcPr>
                <w:p w14:paraId="40CB1C0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0.517</w:t>
                  </w:r>
                </w:p>
              </w:tc>
              <w:tc>
                <w:tcPr>
                  <w:tcW w:w="1140" w:type="dxa"/>
                  <w:vAlign w:val="center"/>
                </w:tcPr>
                <w:p w14:paraId="236468C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51.6%</w:t>
                  </w:r>
                </w:p>
              </w:tc>
              <w:tc>
                <w:tcPr>
                  <w:tcW w:w="1140" w:type="dxa"/>
                  <w:vAlign w:val="center"/>
                </w:tcPr>
                <w:p w14:paraId="3C6FFDA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50.4%</w:t>
                  </w:r>
                </w:p>
              </w:tc>
              <w:tc>
                <w:tcPr>
                  <w:tcW w:w="1140" w:type="dxa"/>
                  <w:vAlign w:val="center"/>
                </w:tcPr>
                <w:p w14:paraId="606B05A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+1.2pp</w:t>
                  </w:r>
                </w:p>
              </w:tc>
            </w:tr>
            <w:tr w14:paraId="665BD051">
              <w:tblPrEx>
                <w:tblCellMar>
                  <w:top w:w="0" w:type="dxa"/>
                  <w:left w:w="108" w:type="dxa"/>
                  <w:bottom w:w="0" w:type="dxa"/>
                  <w:right w:w="108" w:type="dxa"/>
                </w:tblCellMar>
              </w:tblPrEx>
              <w:trPr>
                <w:jc w:val="center"/>
              </w:trPr>
              <w:tc>
                <w:tcPr>
                  <w:tcW w:w="1140" w:type="dxa"/>
                  <w:vAlign w:val="center"/>
                </w:tcPr>
                <w:p w14:paraId="016449D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140" w:type="dxa"/>
                  <w:vAlign w:val="center"/>
                </w:tcPr>
                <w:p w14:paraId="211B3FA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w:t>
                  </w:r>
                </w:p>
              </w:tc>
              <w:tc>
                <w:tcPr>
                  <w:tcW w:w="1140" w:type="dxa"/>
                  <w:vAlign w:val="center"/>
                </w:tcPr>
                <w:p w14:paraId="11D191D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1140" w:type="dxa"/>
                  <w:vAlign w:val="center"/>
                </w:tcPr>
                <w:p w14:paraId="233F003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MU</w:t>
                  </w:r>
                </w:p>
              </w:tc>
              <w:tc>
                <w:tcPr>
                  <w:tcW w:w="1140" w:type="dxa"/>
                  <w:vAlign w:val="center"/>
                </w:tcPr>
                <w:p w14:paraId="0499AE7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0.509</w:t>
                  </w:r>
                </w:p>
              </w:tc>
              <w:tc>
                <w:tcPr>
                  <w:tcW w:w="1140" w:type="dxa"/>
                  <w:vAlign w:val="center"/>
                </w:tcPr>
                <w:p w14:paraId="1033A1E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51.3%</w:t>
                  </w:r>
                </w:p>
              </w:tc>
              <w:tc>
                <w:tcPr>
                  <w:tcW w:w="1140" w:type="dxa"/>
                  <w:vAlign w:val="center"/>
                </w:tcPr>
                <w:p w14:paraId="42545E1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50.4%</w:t>
                  </w:r>
                </w:p>
              </w:tc>
              <w:tc>
                <w:tcPr>
                  <w:tcW w:w="1140" w:type="dxa"/>
                  <w:vAlign w:val="center"/>
                </w:tcPr>
                <w:p w14:paraId="605CDE5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+0.9pp</w:t>
                  </w:r>
                </w:p>
              </w:tc>
            </w:tr>
          </w:tbl>
          <w:p w14:paraId="145D8AD9">
            <w:pPr>
              <w:rPr>
                <w:rFonts w:hint="default" w:ascii="Times New Roman" w:hAnsi="Times New Roman" w:eastAsia="宋体" w:cs="Times New Roman"/>
              </w:rPr>
            </w:pPr>
          </w:p>
          <w:p w14:paraId="3E7D1112">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其中，AAPL 股票的 up_big_3pct_t5 + v1_base + LightGBM 组合取得了本轮实验中的最高 AUC=0.6449。这个结果说明：在特定股票和特定标签定义下，低噪声标签确实可能带来更好的排序能力；但与此同时，其精确率、召回率和 F1 值并不理想，因此不能仅凭 AUC 较高就直接推出“策略一定更有效”。</w:t>
            </w:r>
          </w:p>
          <w:p w14:paraId="1DED6524">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综合这些结果，可以得到以下几点判断：</w:t>
            </w:r>
          </w:p>
          <w:p w14:paraId="4E3545D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在 MU 股票 T+5 这一主分析任务上，低噪声标签 up_big_3pct_t5 的 AUC 提升到 0.509~0.517，相比旧版 direction_t5 的 0.4999 有小幅改善，说明减少标签噪声后，模型排序能力有所恢复，但改善幅度仍然有限。</w:t>
            </w:r>
          </w:p>
          <w:p w14:paraId="6442977B">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多股票统一训练（104 只股票）的 AUC 为 0.5094，样本外排序能力同样有限。</w:t>
            </w:r>
          </w:p>
          <w:p w14:paraId="2A06073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T+1 预测周期下，up_big_1pct 标签使用 RF 模型达到最高 AUC=0.535，说明短周期预测的标签噪声问题相对较轻。</w:t>
            </w:r>
          </w:p>
          <w:p w14:paraId="696AEAD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所有配置的准确率仍低于基线，说明即使降低标签噪声，模型也难以在扩展窗口样本外验证中超越多数类基线。</w:t>
            </w:r>
          </w:p>
          <w:p w14:paraId="6F91033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总体而言，低噪声标签与 AUC 优先搜索确实使样本外 AUC 从 0.4999 提升到约 0.50~0.54 区间，但这种提升仍然有限，尚不足以说明模型已经具备稳定、可迁移的方向预测能力。更准确的理解是：这组实验证明了“标签噪声是问题的重要组成部分”，但并没有证明“通过调参与改标签就已经解决了问题”。因此，后续若要继续提升效果，仍需要从预测目标定义、特征表达方式和时序建模能力三个层面继续改进。</w:t>
            </w:r>
          </w:p>
          <w:p w14:paraId="3DDF1DD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主策略回测结果与 AUC 实验的关系说明（MU/T+5）：</w:t>
            </w:r>
          </w:p>
          <w:tbl>
            <w:tblPr>
              <w:tblStyle w:val="5"/>
              <w:tblW w:w="0" w:type="auto"/>
              <w:jc w:val="center"/>
              <w:tblLayout w:type="fixed"/>
              <w:tblCellMar>
                <w:top w:w="0" w:type="dxa"/>
                <w:left w:w="108" w:type="dxa"/>
                <w:bottom w:w="0" w:type="dxa"/>
                <w:right w:w="108" w:type="dxa"/>
              </w:tblCellMar>
            </w:tblPr>
            <w:tblGrid>
              <w:gridCol w:w="3041"/>
              <w:gridCol w:w="3041"/>
              <w:gridCol w:w="3041"/>
            </w:tblGrid>
            <w:tr w14:paraId="05FE978A">
              <w:tblPrEx>
                <w:tblCellMar>
                  <w:top w:w="0" w:type="dxa"/>
                  <w:left w:w="108" w:type="dxa"/>
                  <w:bottom w:w="0" w:type="dxa"/>
                  <w:right w:w="108" w:type="dxa"/>
                </w:tblCellMar>
              </w:tblPrEx>
              <w:trPr>
                <w:jc w:val="center"/>
              </w:trPr>
              <w:tc>
                <w:tcPr>
                  <w:tcW w:w="3041" w:type="dxa"/>
                  <w:vAlign w:val="center"/>
                </w:tcPr>
                <w:p w14:paraId="5B96999C">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3041" w:type="dxa"/>
                  <w:vAlign w:val="center"/>
                </w:tcPr>
                <w:p w14:paraId="0EE5504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当前课程主回测结果</w:t>
                  </w:r>
                </w:p>
              </w:tc>
              <w:tc>
                <w:tcPr>
                  <w:tcW w:w="3041" w:type="dxa"/>
                  <w:vAlign w:val="center"/>
                </w:tcPr>
                <w:p w14:paraId="3A82DDF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说明</w:t>
                  </w:r>
                </w:p>
              </w:tc>
            </w:tr>
            <w:tr w14:paraId="1695E2F6">
              <w:tblPrEx>
                <w:tblCellMar>
                  <w:top w:w="0" w:type="dxa"/>
                  <w:left w:w="108" w:type="dxa"/>
                  <w:bottom w:w="0" w:type="dxa"/>
                  <w:right w:w="108" w:type="dxa"/>
                </w:tblCellMar>
              </w:tblPrEx>
              <w:trPr>
                <w:jc w:val="center"/>
              </w:trPr>
              <w:tc>
                <w:tcPr>
                  <w:tcW w:w="3041" w:type="dxa"/>
                  <w:vAlign w:val="center"/>
                </w:tcPr>
                <w:p w14:paraId="6D88A53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年化收益率</w:t>
                  </w:r>
                </w:p>
              </w:tc>
              <w:tc>
                <w:tcPr>
                  <w:tcW w:w="3041" w:type="dxa"/>
                  <w:vAlign w:val="center"/>
                </w:tcPr>
                <w:p w14:paraId="6F75A06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162.99%</w:t>
                  </w:r>
                </w:p>
              </w:tc>
              <w:tc>
                <w:tcPr>
                  <w:tcW w:w="3041" w:type="dxa"/>
                  <w:vAlign w:val="center"/>
                </w:tcPr>
                <w:p w14:paraId="0F9F199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来自主报告既有回测链路</w:t>
                  </w:r>
                </w:p>
              </w:tc>
            </w:tr>
            <w:tr w14:paraId="6FAF4A92">
              <w:tblPrEx>
                <w:tblCellMar>
                  <w:top w:w="0" w:type="dxa"/>
                  <w:left w:w="108" w:type="dxa"/>
                  <w:bottom w:w="0" w:type="dxa"/>
                  <w:right w:w="108" w:type="dxa"/>
                </w:tblCellMar>
              </w:tblPrEx>
              <w:trPr>
                <w:jc w:val="center"/>
              </w:trPr>
              <w:tc>
                <w:tcPr>
                  <w:tcW w:w="3041" w:type="dxa"/>
                  <w:vAlign w:val="center"/>
                </w:tcPr>
                <w:p w14:paraId="32FD7C7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最大回撤</w:t>
                  </w:r>
                </w:p>
              </w:tc>
              <w:tc>
                <w:tcPr>
                  <w:tcW w:w="3041" w:type="dxa"/>
                  <w:vAlign w:val="center"/>
                </w:tcPr>
                <w:p w14:paraId="79B5912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19.00%</w:t>
                  </w:r>
                </w:p>
              </w:tc>
              <w:tc>
                <w:tcPr>
                  <w:tcW w:w="3041" w:type="dxa"/>
                  <w:vAlign w:val="center"/>
                </w:tcPr>
                <w:p w14:paraId="55B2B27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来自主报告既有回测链路</w:t>
                  </w:r>
                </w:p>
              </w:tc>
            </w:tr>
            <w:tr w14:paraId="1FC3E7BB">
              <w:tblPrEx>
                <w:tblCellMar>
                  <w:top w:w="0" w:type="dxa"/>
                  <w:left w:w="108" w:type="dxa"/>
                  <w:bottom w:w="0" w:type="dxa"/>
                  <w:right w:w="108" w:type="dxa"/>
                </w:tblCellMar>
              </w:tblPrEx>
              <w:trPr>
                <w:jc w:val="center"/>
              </w:trPr>
              <w:tc>
                <w:tcPr>
                  <w:tcW w:w="3041" w:type="dxa"/>
                  <w:vAlign w:val="center"/>
                </w:tcPr>
                <w:p w14:paraId="75A54DD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累计收益率</w:t>
                  </w:r>
                </w:p>
              </w:tc>
              <w:tc>
                <w:tcPr>
                  <w:tcW w:w="3041" w:type="dxa"/>
                  <w:vAlign w:val="center"/>
                </w:tcPr>
                <w:p w14:paraId="25CF0B7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217.39%</w:t>
                  </w:r>
                </w:p>
              </w:tc>
              <w:tc>
                <w:tcPr>
                  <w:tcW w:w="3041" w:type="dxa"/>
                  <w:vAlign w:val="center"/>
                </w:tcPr>
                <w:p w14:paraId="71CED32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来自主报告既有回测链路</w:t>
                  </w:r>
                </w:p>
              </w:tc>
            </w:tr>
            <w:tr w14:paraId="1A308DF6">
              <w:tblPrEx>
                <w:tblCellMar>
                  <w:top w:w="0" w:type="dxa"/>
                  <w:left w:w="108" w:type="dxa"/>
                  <w:bottom w:w="0" w:type="dxa"/>
                  <w:right w:w="108" w:type="dxa"/>
                </w:tblCellMar>
              </w:tblPrEx>
              <w:trPr>
                <w:jc w:val="center"/>
              </w:trPr>
              <w:tc>
                <w:tcPr>
                  <w:tcW w:w="3041" w:type="dxa"/>
                  <w:vAlign w:val="center"/>
                </w:tcPr>
                <w:p w14:paraId="62D6E90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买入持有收益率</w:t>
                  </w:r>
                </w:p>
              </w:tc>
              <w:tc>
                <w:tcPr>
                  <w:tcW w:w="3041" w:type="dxa"/>
                  <w:vAlign w:val="center"/>
                </w:tcPr>
                <w:p w14:paraId="40745FF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250.71%</w:t>
                  </w:r>
                </w:p>
              </w:tc>
              <w:tc>
                <w:tcPr>
                  <w:tcW w:w="3041" w:type="dxa"/>
                  <w:vAlign w:val="center"/>
                </w:tcPr>
                <w:p w14:paraId="6938AA9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作为同期基准</w:t>
                  </w:r>
                </w:p>
              </w:tc>
            </w:tr>
            <w:tr w14:paraId="030537D4">
              <w:tblPrEx>
                <w:tblCellMar>
                  <w:top w:w="0" w:type="dxa"/>
                  <w:left w:w="108" w:type="dxa"/>
                  <w:bottom w:w="0" w:type="dxa"/>
                  <w:right w:w="108" w:type="dxa"/>
                </w:tblCellMar>
              </w:tblPrEx>
              <w:trPr>
                <w:jc w:val="center"/>
              </w:trPr>
              <w:tc>
                <w:tcPr>
                  <w:tcW w:w="3041" w:type="dxa"/>
                  <w:vAlign w:val="center"/>
                </w:tcPr>
                <w:p w14:paraId="54EF9B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交易次数</w:t>
                  </w:r>
                </w:p>
              </w:tc>
              <w:tc>
                <w:tcPr>
                  <w:tcW w:w="3041" w:type="dxa"/>
                  <w:vAlign w:val="center"/>
                </w:tcPr>
                <w:p w14:paraId="0A2D4E6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39</w:t>
                  </w:r>
                </w:p>
              </w:tc>
              <w:tc>
                <w:tcPr>
                  <w:tcW w:w="3041" w:type="dxa"/>
                  <w:vAlign w:val="center"/>
                </w:tcPr>
                <w:p w14:paraId="4530ADF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反映主回测链路下的交易活跃度</w:t>
                  </w:r>
                </w:p>
              </w:tc>
            </w:tr>
            <w:tr w14:paraId="6626A842">
              <w:tblPrEx>
                <w:tblCellMar>
                  <w:top w:w="0" w:type="dxa"/>
                  <w:left w:w="108" w:type="dxa"/>
                  <w:bottom w:w="0" w:type="dxa"/>
                  <w:right w:w="108" w:type="dxa"/>
                </w:tblCellMar>
              </w:tblPrEx>
              <w:trPr>
                <w:jc w:val="center"/>
              </w:trPr>
              <w:tc>
                <w:tcPr>
                  <w:tcW w:w="3041" w:type="dxa"/>
                  <w:vAlign w:val="center"/>
                </w:tcPr>
                <w:p w14:paraId="1CE460C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满足课程指标</w:t>
                  </w:r>
                </w:p>
              </w:tc>
              <w:tc>
                <w:tcPr>
                  <w:tcW w:w="3041" w:type="dxa"/>
                  <w:vAlign w:val="center"/>
                </w:tcPr>
                <w:p w14:paraId="6D42830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是</w:t>
                  </w:r>
                </w:p>
              </w:tc>
              <w:tc>
                <w:tcPr>
                  <w:tcW w:w="3041" w:type="dxa"/>
                  <w:vAlign w:val="center"/>
                </w:tcPr>
                <w:p w14:paraId="370F96C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年化收益率和最大回撤均达标</w:t>
                  </w:r>
                </w:p>
              </w:tc>
            </w:tr>
          </w:tbl>
          <w:p w14:paraId="7EC1B12A">
            <w:pPr>
              <w:rPr>
                <w:rFonts w:hint="default" w:ascii="Times New Roman" w:hAnsi="Times New Roman" w:eastAsia="宋体" w:cs="Times New Roman"/>
              </w:rPr>
            </w:pPr>
          </w:p>
          <w:p w14:paraId="2151A0F5">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需要说明的是，上述课程主回测结果基于既有阈值扫描结果和当前主策略链路；而 AUC 优先实验的核心目的，是分析样本外概率排序能力及其瓶颈，而不是直接替换课程主回测使用的全部配置。因此，本节不能据此严格得出“AUC 改进后策略收益保持不变”的结论，只能说明截至本次报告撰写时，课程主展示策略的回测结果仍然满足课程要求。</w:t>
            </w:r>
          </w:p>
          <w:p w14:paraId="360537CF">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4.5.3.1 中性样本过滤实验</w:t>
            </w:r>
          </w:p>
          <w:p w14:paraId="468FABAE">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为进一步验证“标签噪声是否是模型性能受限的重要原因”，项目还补充了中性样本过滤实验。其基本思路是：将未来 5 个交易日绝对收益率较小的样本视为噪声较强的中性区间，并在训练阶段将这些样本剔除，以观察模型排序能力是否改善。对应实验结果文件如下：</w:t>
            </w:r>
          </w:p>
          <w:p w14:paraId="12AB0EA2">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backend/ml/models/MU_t5_xgb_search_neutral100.json — 无市场基准、neutral_band=0.01（收益绝对值 &lt;1% 视为中性）</w:t>
            </w:r>
          </w:p>
          <w:p w14:paraId="2BAB613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backend/ml/models/MU_t5_xgb_search_neutral300.json — 无市场基准、neutral_band=0.03（收益绝对值 &lt;3% 视为中性）</w:t>
            </w:r>
          </w:p>
          <w:p w14:paraId="5E231CD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backend/ml/models/MU_t5_xgb_search_market_neutral100.json — 含市场基准、neutral_band=0.01</w:t>
            </w:r>
          </w:p>
          <w:p w14:paraId="40E1273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backend/ml/models/MU_t5_xgb_search_market_neutral300.json — 含市场基准、neutral_band=0.03</w:t>
            </w:r>
          </w:p>
          <w:p w14:paraId="48FF0C4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代表性结果（MU/T+5/无市场基准/neutral_band=0.03，对应 MU_t5_xgb_search_neutral300.json）：</w:t>
            </w:r>
          </w:p>
          <w:tbl>
            <w:tblPr>
              <w:tblStyle w:val="5"/>
              <w:tblW w:w="0" w:type="auto"/>
              <w:jc w:val="center"/>
              <w:tblLayout w:type="fixed"/>
              <w:tblCellMar>
                <w:top w:w="0" w:type="dxa"/>
                <w:left w:w="108" w:type="dxa"/>
                <w:bottom w:w="0" w:type="dxa"/>
                <w:right w:w="108" w:type="dxa"/>
              </w:tblCellMar>
            </w:tblPr>
            <w:tblGrid>
              <w:gridCol w:w="4561"/>
              <w:gridCol w:w="4561"/>
            </w:tblGrid>
            <w:tr w14:paraId="40DFA659">
              <w:tblPrEx>
                <w:tblCellMar>
                  <w:top w:w="0" w:type="dxa"/>
                  <w:left w:w="108" w:type="dxa"/>
                  <w:bottom w:w="0" w:type="dxa"/>
                  <w:right w:w="108" w:type="dxa"/>
                </w:tblCellMar>
              </w:tblPrEx>
              <w:trPr>
                <w:jc w:val="center"/>
              </w:trPr>
              <w:tc>
                <w:tcPr>
                  <w:tcW w:w="4561" w:type="dxa"/>
                  <w:vAlign w:val="center"/>
                </w:tcPr>
                <w:p w14:paraId="6290D876">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4561" w:type="dxa"/>
                  <w:vAlign w:val="center"/>
                </w:tcPr>
                <w:p w14:paraId="50C32A5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数值</w:t>
                  </w:r>
                </w:p>
              </w:tc>
            </w:tr>
            <w:tr w14:paraId="64792332">
              <w:tblPrEx>
                <w:tblCellMar>
                  <w:top w:w="0" w:type="dxa"/>
                  <w:left w:w="108" w:type="dxa"/>
                  <w:bottom w:w="0" w:type="dxa"/>
                  <w:right w:w="108" w:type="dxa"/>
                </w:tblCellMar>
              </w:tblPrEx>
              <w:trPr>
                <w:jc w:val="center"/>
              </w:trPr>
              <w:tc>
                <w:tcPr>
                  <w:tcW w:w="4561" w:type="dxa"/>
                  <w:vAlign w:val="center"/>
                </w:tcPr>
                <w:p w14:paraId="6C9D799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总预测样本数</w:t>
                  </w:r>
                </w:p>
              </w:tc>
              <w:tc>
                <w:tcPr>
                  <w:tcW w:w="4561" w:type="dxa"/>
                  <w:vAlign w:val="center"/>
                </w:tcPr>
                <w:p w14:paraId="4E66418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294</w:t>
                  </w:r>
                </w:p>
              </w:tc>
            </w:tr>
            <w:tr w14:paraId="74BC3F74">
              <w:tblPrEx>
                <w:tblCellMar>
                  <w:top w:w="0" w:type="dxa"/>
                  <w:left w:w="108" w:type="dxa"/>
                  <w:bottom w:w="0" w:type="dxa"/>
                  <w:right w:w="108" w:type="dxa"/>
                </w:tblCellMar>
              </w:tblPrEx>
              <w:trPr>
                <w:jc w:val="center"/>
              </w:trPr>
              <w:tc>
                <w:tcPr>
                  <w:tcW w:w="4561" w:type="dxa"/>
                  <w:vAlign w:val="center"/>
                </w:tcPr>
                <w:p w14:paraId="00C06E5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准确率</w:t>
                  </w:r>
                </w:p>
              </w:tc>
              <w:tc>
                <w:tcPr>
                  <w:tcW w:w="4561" w:type="dxa"/>
                  <w:vAlign w:val="center"/>
                </w:tcPr>
                <w:p w14:paraId="6053AFB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54.50%</w:t>
                  </w:r>
                </w:p>
              </w:tc>
            </w:tr>
            <w:tr w14:paraId="3C0A09CD">
              <w:tblPrEx>
                <w:tblCellMar>
                  <w:top w:w="0" w:type="dxa"/>
                  <w:left w:w="108" w:type="dxa"/>
                  <w:bottom w:w="0" w:type="dxa"/>
                  <w:right w:w="108" w:type="dxa"/>
                </w:tblCellMar>
              </w:tblPrEx>
              <w:trPr>
                <w:jc w:val="center"/>
              </w:trPr>
              <w:tc>
                <w:tcPr>
                  <w:tcW w:w="4561" w:type="dxa"/>
                  <w:vAlign w:val="center"/>
                </w:tcPr>
                <w:p w14:paraId="6363574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基线准确率</w:t>
                  </w:r>
                </w:p>
              </w:tc>
              <w:tc>
                <w:tcPr>
                  <w:tcW w:w="4561" w:type="dxa"/>
                  <w:vAlign w:val="center"/>
                </w:tcPr>
                <w:p w14:paraId="182FB24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72.49%</w:t>
                  </w:r>
                </w:p>
              </w:tc>
            </w:tr>
            <w:tr w14:paraId="06DDF9E0">
              <w:tblPrEx>
                <w:tblCellMar>
                  <w:top w:w="0" w:type="dxa"/>
                  <w:left w:w="108" w:type="dxa"/>
                  <w:bottom w:w="0" w:type="dxa"/>
                  <w:right w:w="108" w:type="dxa"/>
                </w:tblCellMar>
              </w:tblPrEx>
              <w:trPr>
                <w:jc w:val="center"/>
              </w:trPr>
              <w:tc>
                <w:tcPr>
                  <w:tcW w:w="4561" w:type="dxa"/>
                  <w:vAlign w:val="center"/>
                </w:tcPr>
                <w:p w14:paraId="4A97371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Accuracy Lift</w:t>
                  </w:r>
                </w:p>
              </w:tc>
              <w:tc>
                <w:tcPr>
                  <w:tcW w:w="4561" w:type="dxa"/>
                  <w:vAlign w:val="center"/>
                </w:tcPr>
                <w:p w14:paraId="17B80EA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-17.99pp</w:t>
                  </w:r>
                </w:p>
              </w:tc>
            </w:tr>
            <w:tr w14:paraId="0E2297FD">
              <w:tblPrEx>
                <w:tblCellMar>
                  <w:top w:w="0" w:type="dxa"/>
                  <w:left w:w="108" w:type="dxa"/>
                  <w:bottom w:w="0" w:type="dxa"/>
                  <w:right w:w="108" w:type="dxa"/>
                </w:tblCellMar>
              </w:tblPrEx>
              <w:trPr>
                <w:jc w:val="center"/>
              </w:trPr>
              <w:tc>
                <w:tcPr>
                  <w:tcW w:w="4561" w:type="dxa"/>
                  <w:vAlign w:val="center"/>
                </w:tcPr>
                <w:p w14:paraId="3E12209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精确率</w:t>
                  </w:r>
                </w:p>
              </w:tc>
              <w:tc>
                <w:tcPr>
                  <w:tcW w:w="4561" w:type="dxa"/>
                  <w:vAlign w:val="center"/>
                </w:tcPr>
                <w:p w14:paraId="41113B4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76.84%</w:t>
                  </w:r>
                </w:p>
              </w:tc>
            </w:tr>
            <w:tr w14:paraId="5294AC23">
              <w:tblPrEx>
                <w:tblCellMar>
                  <w:top w:w="0" w:type="dxa"/>
                  <w:left w:w="108" w:type="dxa"/>
                  <w:bottom w:w="0" w:type="dxa"/>
                  <w:right w:w="108" w:type="dxa"/>
                </w:tblCellMar>
              </w:tblPrEx>
              <w:trPr>
                <w:jc w:val="center"/>
              </w:trPr>
              <w:tc>
                <w:tcPr>
                  <w:tcW w:w="4561" w:type="dxa"/>
                  <w:vAlign w:val="center"/>
                </w:tcPr>
                <w:p w14:paraId="2A5F51A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召回率</w:t>
                  </w:r>
                </w:p>
              </w:tc>
              <w:tc>
                <w:tcPr>
                  <w:tcW w:w="4561" w:type="dxa"/>
                  <w:vAlign w:val="center"/>
                </w:tcPr>
                <w:p w14:paraId="6B3C5F9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53.28%</w:t>
                  </w:r>
                </w:p>
              </w:tc>
            </w:tr>
            <w:tr w14:paraId="2D8B1D16">
              <w:tblPrEx>
                <w:tblCellMar>
                  <w:top w:w="0" w:type="dxa"/>
                  <w:left w:w="108" w:type="dxa"/>
                  <w:bottom w:w="0" w:type="dxa"/>
                  <w:right w:w="108" w:type="dxa"/>
                </w:tblCellMar>
              </w:tblPrEx>
              <w:trPr>
                <w:jc w:val="center"/>
              </w:trPr>
              <w:tc>
                <w:tcPr>
                  <w:tcW w:w="4561" w:type="dxa"/>
                  <w:vAlign w:val="center"/>
                </w:tcPr>
                <w:p w14:paraId="09D365A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F1 值</w:t>
                  </w:r>
                </w:p>
              </w:tc>
              <w:tc>
                <w:tcPr>
                  <w:tcW w:w="4561" w:type="dxa"/>
                  <w:vAlign w:val="center"/>
                </w:tcPr>
                <w:p w14:paraId="0283F53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62.93%</w:t>
                  </w:r>
                </w:p>
              </w:tc>
            </w:tr>
            <w:tr w14:paraId="4035C4CA">
              <w:tblPrEx>
                <w:tblCellMar>
                  <w:top w:w="0" w:type="dxa"/>
                  <w:left w:w="108" w:type="dxa"/>
                  <w:bottom w:w="0" w:type="dxa"/>
                  <w:right w:w="108" w:type="dxa"/>
                </w:tblCellMar>
              </w:tblPrEx>
              <w:trPr>
                <w:jc w:val="center"/>
              </w:trPr>
              <w:tc>
                <w:tcPr>
                  <w:tcW w:w="4561" w:type="dxa"/>
                  <w:vAlign w:val="center"/>
                </w:tcPr>
                <w:p w14:paraId="1F5108B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ROC-AUC</w:t>
                  </w:r>
                </w:p>
              </w:tc>
              <w:tc>
                <w:tcPr>
                  <w:tcW w:w="4561" w:type="dxa"/>
                  <w:vAlign w:val="center"/>
                </w:tcPr>
                <w:p w14:paraId="403D01D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0.5442</w:t>
                  </w:r>
                </w:p>
              </w:tc>
            </w:tr>
          </w:tbl>
          <w:p w14:paraId="14C664A8">
            <w:pPr>
              <w:rPr>
                <w:rFonts w:hint="default" w:ascii="Times New Roman" w:hAnsi="Times New Roman" w:eastAsia="宋体" w:cs="Times New Roman"/>
              </w:rPr>
            </w:pPr>
          </w:p>
          <w:p w14:paraId="178B433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从结果看，在 neutral_band=0.03 的设置下，AUC 提升到 0.5442，相比同口径无中性过滤时的 0.509 有较明显改善。这说明剔除中性样本确实有助于提升模型的概率排序能力；但与此同时，准确率仍明显低于基线（54.50% vs 72.49%），表明仅靠中性过滤仍不足以使模型在整体样本外预测上取得决定性优势。</w:t>
            </w:r>
          </w:p>
          <w:p w14:paraId="10489101">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4.5.3.2 LSTM 深度学习拓展实验</w:t>
            </w:r>
          </w:p>
          <w:p w14:paraId="749D515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作为深度学习拓展实验，本项目在主模型 XGBoost 之外实现了基于 PyTorch 的 LSTM 序列模型，用于验证：在当前数据规模与特征形态下，引入显式时序建模是否能够带来额外收益。</w:t>
            </w:r>
          </w:p>
          <w:p w14:paraId="3D4511A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LSTM 的理论优势在于能够捕捉特征在时间维度上的持续性和顺序模式，例如“连续数日负面情绪后出现修复”之类的动态变化，这与 XGBoost 的逐样本独立预测形成互补。因此，该实验的目标并不是替换主模型，而是验证时序建模在本项目条件下是否具备实际增益。</w:t>
            </w:r>
          </w:p>
          <w:p w14:paraId="504F4F4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实验设置：</w:t>
            </w:r>
          </w:p>
          <w:tbl>
            <w:tblPr>
              <w:tblStyle w:val="5"/>
              <w:tblW w:w="0" w:type="auto"/>
              <w:jc w:val="center"/>
              <w:tblLayout w:type="fixed"/>
              <w:tblCellMar>
                <w:top w:w="0" w:type="dxa"/>
                <w:left w:w="108" w:type="dxa"/>
                <w:bottom w:w="0" w:type="dxa"/>
                <w:right w:w="108" w:type="dxa"/>
              </w:tblCellMar>
            </w:tblPr>
            <w:tblGrid>
              <w:gridCol w:w="4561"/>
              <w:gridCol w:w="4561"/>
            </w:tblGrid>
            <w:tr w14:paraId="1A28329A">
              <w:trPr>
                <w:jc w:val="center"/>
              </w:trPr>
              <w:tc>
                <w:tcPr>
                  <w:tcW w:w="4561" w:type="dxa"/>
                  <w:vAlign w:val="center"/>
                </w:tcPr>
                <w:p w14:paraId="0D132022">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项目</w:t>
                  </w:r>
                </w:p>
              </w:tc>
              <w:tc>
                <w:tcPr>
                  <w:tcW w:w="4561" w:type="dxa"/>
                  <w:vAlign w:val="center"/>
                </w:tcPr>
                <w:p w14:paraId="462C44C3">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说明</w:t>
                  </w:r>
                </w:p>
              </w:tc>
            </w:tr>
            <w:tr w14:paraId="28110047">
              <w:tblPrEx>
                <w:tblCellMar>
                  <w:top w:w="0" w:type="dxa"/>
                  <w:left w:w="108" w:type="dxa"/>
                  <w:bottom w:w="0" w:type="dxa"/>
                  <w:right w:w="108" w:type="dxa"/>
                </w:tblCellMar>
              </w:tblPrEx>
              <w:trPr>
                <w:jc w:val="center"/>
              </w:trPr>
              <w:tc>
                <w:tcPr>
                  <w:tcW w:w="4561" w:type="dxa"/>
                  <w:vAlign w:val="center"/>
                </w:tcPr>
                <w:p w14:paraId="0B36940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标的</w:t>
                  </w:r>
                </w:p>
              </w:tc>
              <w:tc>
                <w:tcPr>
                  <w:tcW w:w="4561" w:type="dxa"/>
                  <w:vAlign w:val="center"/>
                </w:tcPr>
                <w:p w14:paraId="1893D71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MU</w:t>
                  </w:r>
                </w:p>
              </w:tc>
            </w:tr>
            <w:tr w14:paraId="5D25B6FE">
              <w:tblPrEx>
                <w:tblCellMar>
                  <w:top w:w="0" w:type="dxa"/>
                  <w:left w:w="108" w:type="dxa"/>
                  <w:bottom w:w="0" w:type="dxa"/>
                  <w:right w:w="108" w:type="dxa"/>
                </w:tblCellMar>
              </w:tblPrEx>
              <w:trPr>
                <w:jc w:val="center"/>
              </w:trPr>
              <w:tc>
                <w:tcPr>
                  <w:tcW w:w="4561" w:type="dxa"/>
                  <w:vAlign w:val="center"/>
                </w:tcPr>
                <w:p w14:paraId="62320DB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目标标签</w:t>
                  </w:r>
                </w:p>
              </w:tc>
              <w:tc>
                <w:tcPr>
                  <w:tcW w:w="4561" w:type="dxa"/>
                  <w:vAlign w:val="center"/>
                </w:tcPr>
                <w:p w14:paraId="1DEAEBE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target_t3（未来 3 日收盘价是否高于当日）</w:t>
                  </w:r>
                </w:p>
              </w:tc>
            </w:tr>
            <w:tr w14:paraId="0D5DE8BA">
              <w:trPr>
                <w:jc w:val="center"/>
              </w:trPr>
              <w:tc>
                <w:tcPr>
                  <w:tcW w:w="4561" w:type="dxa"/>
                  <w:vAlign w:val="center"/>
                </w:tcPr>
                <w:p w14:paraId="2E4765C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序列长度（seq_len）</w:t>
                  </w:r>
                </w:p>
              </w:tc>
              <w:tc>
                <w:tcPr>
                  <w:tcW w:w="4561" w:type="dxa"/>
                  <w:vAlign w:val="center"/>
                </w:tcPr>
                <w:p w14:paraId="2B9CE1B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10</w:t>
                  </w:r>
                </w:p>
              </w:tc>
            </w:tr>
            <w:tr w14:paraId="03E69697">
              <w:tblPrEx>
                <w:tblCellMar>
                  <w:top w:w="0" w:type="dxa"/>
                  <w:left w:w="108" w:type="dxa"/>
                  <w:bottom w:w="0" w:type="dxa"/>
                  <w:right w:w="108" w:type="dxa"/>
                </w:tblCellMar>
              </w:tblPrEx>
              <w:trPr>
                <w:jc w:val="center"/>
              </w:trPr>
              <w:tc>
                <w:tcPr>
                  <w:tcW w:w="4561" w:type="dxa"/>
                  <w:vAlign w:val="center"/>
                </w:tcPr>
                <w:p w14:paraId="0DE9910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中性新闻过滤</w:t>
                  </w:r>
                </w:p>
              </w:tc>
              <w:tc>
                <w:tcPr>
                  <w:tcW w:w="4561" w:type="dxa"/>
                  <w:vAlign w:val="center"/>
                </w:tcPr>
                <w:p w14:paraId="72EE88E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是（exclude_neutral=True）</w:t>
                  </w:r>
                </w:p>
              </w:tc>
            </w:tr>
            <w:tr w14:paraId="10E77513">
              <w:tblPrEx>
                <w:tblCellMar>
                  <w:top w:w="0" w:type="dxa"/>
                  <w:left w:w="108" w:type="dxa"/>
                  <w:bottom w:w="0" w:type="dxa"/>
                  <w:right w:w="108" w:type="dxa"/>
                </w:tblCellMar>
              </w:tblPrEx>
              <w:trPr>
                <w:jc w:val="center"/>
              </w:trPr>
              <w:tc>
                <w:tcPr>
                  <w:tcW w:w="4561" w:type="dxa"/>
                  <w:vAlign w:val="center"/>
                </w:tcPr>
                <w:p w14:paraId="22A76EE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模型结构</w:t>
                  </w:r>
                </w:p>
              </w:tc>
              <w:tc>
                <w:tcPr>
                  <w:tcW w:w="4561" w:type="dxa"/>
                  <w:vAlign w:val="center"/>
                </w:tcPr>
                <w:p w14:paraId="31B70B4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 层 LSTM，hidden_size=64，dropout=0.3</w:t>
                  </w:r>
                </w:p>
              </w:tc>
            </w:tr>
            <w:tr w14:paraId="09AB9F16">
              <w:tblPrEx>
                <w:tblCellMar>
                  <w:top w:w="0" w:type="dxa"/>
                  <w:left w:w="108" w:type="dxa"/>
                  <w:bottom w:w="0" w:type="dxa"/>
                  <w:right w:w="108" w:type="dxa"/>
                </w:tblCellMar>
              </w:tblPrEx>
              <w:trPr>
                <w:jc w:val="center"/>
              </w:trPr>
              <w:tc>
                <w:tcPr>
                  <w:tcW w:w="4561" w:type="dxa"/>
                  <w:vAlign w:val="center"/>
                </w:tcPr>
                <w:p w14:paraId="4EAB685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优化器</w:t>
                  </w:r>
                </w:p>
              </w:tc>
              <w:tc>
                <w:tcPr>
                  <w:tcW w:w="4561" w:type="dxa"/>
                  <w:vAlign w:val="center"/>
                </w:tcPr>
                <w:p w14:paraId="73CA14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Adam（lr=0.001, weight_decay=1e-4）</w:t>
                  </w:r>
                </w:p>
              </w:tc>
            </w:tr>
            <w:tr w14:paraId="6EFEAF4E">
              <w:tblPrEx>
                <w:tblCellMar>
                  <w:top w:w="0" w:type="dxa"/>
                  <w:left w:w="108" w:type="dxa"/>
                  <w:bottom w:w="0" w:type="dxa"/>
                  <w:right w:w="108" w:type="dxa"/>
                </w:tblCellMar>
              </w:tblPrEx>
              <w:trPr>
                <w:jc w:val="center"/>
              </w:trPr>
              <w:tc>
                <w:tcPr>
                  <w:tcW w:w="4561" w:type="dxa"/>
                  <w:vAlign w:val="center"/>
                </w:tcPr>
                <w:p w14:paraId="38520DB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训练轮次</w:t>
                  </w:r>
                </w:p>
              </w:tc>
              <w:tc>
                <w:tcPr>
                  <w:tcW w:w="4561" w:type="dxa"/>
                  <w:vAlign w:val="center"/>
                </w:tcPr>
                <w:p w14:paraId="213352E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 epochs（生产模型）/ 40 epochs（回测各折）</w:t>
                  </w:r>
                </w:p>
              </w:tc>
            </w:tr>
            <w:tr w14:paraId="10880903">
              <w:tblPrEx>
                <w:tblCellMar>
                  <w:top w:w="0" w:type="dxa"/>
                  <w:left w:w="108" w:type="dxa"/>
                  <w:bottom w:w="0" w:type="dxa"/>
                  <w:right w:w="108" w:type="dxa"/>
                </w:tblCellMar>
              </w:tblPrEx>
              <w:trPr>
                <w:jc w:val="center"/>
              </w:trPr>
              <w:tc>
                <w:tcPr>
                  <w:tcW w:w="4561" w:type="dxa"/>
                  <w:vAlign w:val="center"/>
                </w:tcPr>
                <w:p w14:paraId="13ACC14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特征维度</w:t>
                  </w:r>
                </w:p>
              </w:tc>
              <w:tc>
                <w:tcPr>
                  <w:tcW w:w="4561" w:type="dxa"/>
                  <w:vAlign w:val="center"/>
                </w:tcPr>
                <w:p w14:paraId="4BF5C2B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40 维（含情绪统计、价格技术指标、市场情绪等）</w:t>
                  </w:r>
                </w:p>
              </w:tc>
            </w:tr>
            <w:tr w14:paraId="46372B42">
              <w:tblPrEx>
                <w:tblCellMar>
                  <w:top w:w="0" w:type="dxa"/>
                  <w:left w:w="108" w:type="dxa"/>
                  <w:bottom w:w="0" w:type="dxa"/>
                  <w:right w:w="108" w:type="dxa"/>
                </w:tblCellMar>
              </w:tblPrEx>
              <w:trPr>
                <w:jc w:val="center"/>
              </w:trPr>
              <w:tc>
                <w:tcPr>
                  <w:tcW w:w="4561" w:type="dxa"/>
                  <w:vAlign w:val="center"/>
                </w:tcPr>
                <w:p w14:paraId="2D33646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验证方法</w:t>
                  </w:r>
                </w:p>
              </w:tc>
              <w:tc>
                <w:tcPr>
                  <w:tcW w:w="4561" w:type="dxa"/>
                  <w:vAlign w:val="center"/>
                </w:tcPr>
                <w:p w14:paraId="627064A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 折扩展窗口交叉验证（min_train=200）</w:t>
                  </w:r>
                </w:p>
              </w:tc>
            </w:tr>
          </w:tbl>
          <w:p w14:paraId="2A012E84">
            <w:pPr>
              <w:rPr>
                <w:rFonts w:hint="default" w:ascii="Times New Roman" w:hAnsi="Times New Roman" w:eastAsia="宋体" w:cs="Times New Roman"/>
              </w:rPr>
            </w:pPr>
          </w:p>
          <w:p w14:paraId="260ED6D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运行命令：</w:t>
            </w:r>
          </w:p>
          <w:p w14:paraId="16761460">
            <w:pPr>
              <w:spacing w:before="0" w:after="120" w:line="24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0"/>
              </w:rPr>
              <w:t>.\venv\Scripts\python.exe -m backend.ml.train --symbol MU --lstm-only --target-col target_t3</w:t>
            </w:r>
          </w:p>
          <w:p w14:paraId="25D71D1B">
            <w:pPr>
              <w:spacing w:before="0" w:after="80" w:line="360" w:lineRule="auto"/>
              <w:ind w:left="420"/>
              <w:rPr>
                <w:rFonts w:hint="default" w:ascii="Times New Roman" w:hAnsi="Times New Roman" w:eastAsia="宋体" w:cs="Times New Roman"/>
              </w:rPr>
            </w:pPr>
            <w:r>
              <w:rPr>
                <w:rFonts w:hint="default" w:ascii="Times New Roman" w:hAnsi="Times New Roman" w:eastAsia="宋体" w:cs="Times New Roman"/>
                <w:b w:val="0"/>
                <w:i/>
                <w:sz w:val="24"/>
              </w:rPr>
              <w:t>说明：LSTM 实验使用 target_t3 而非主策略中的 target_t5。这意味着它与主策略回测并非完全同口径对照，因此本节更适合用来判断“深度学习是否适合当前数据条件”，而不宜将其数值结果直接与主策略收益逐项对比。</w:t>
            </w:r>
          </w:p>
          <w:p w14:paraId="2E9647E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实验结果：</w:t>
            </w:r>
          </w:p>
          <w:tbl>
            <w:tblPr>
              <w:tblStyle w:val="5"/>
              <w:tblW w:w="0" w:type="auto"/>
              <w:jc w:val="center"/>
              <w:tblLayout w:type="fixed"/>
              <w:tblCellMar>
                <w:top w:w="0" w:type="dxa"/>
                <w:left w:w="108" w:type="dxa"/>
                <w:bottom w:w="0" w:type="dxa"/>
                <w:right w:w="108" w:type="dxa"/>
              </w:tblCellMar>
            </w:tblPr>
            <w:tblGrid>
              <w:gridCol w:w="3041"/>
              <w:gridCol w:w="3041"/>
              <w:gridCol w:w="3041"/>
            </w:tblGrid>
            <w:tr w14:paraId="632FE0EF">
              <w:tblPrEx>
                <w:tblCellMar>
                  <w:top w:w="0" w:type="dxa"/>
                  <w:left w:w="108" w:type="dxa"/>
                  <w:bottom w:w="0" w:type="dxa"/>
                  <w:right w:w="108" w:type="dxa"/>
                </w:tblCellMar>
              </w:tblPrEx>
              <w:trPr>
                <w:jc w:val="center"/>
              </w:trPr>
              <w:tc>
                <w:tcPr>
                  <w:tcW w:w="3041" w:type="dxa"/>
                  <w:vAlign w:val="center"/>
                </w:tcPr>
                <w:p w14:paraId="1A0FF80E">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3041" w:type="dxa"/>
                  <w:vAlign w:val="center"/>
                </w:tcPr>
                <w:p w14:paraId="3B05129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LSTM</w:t>
                  </w:r>
                </w:p>
              </w:tc>
              <w:tc>
                <w:tcPr>
                  <w:tcW w:w="3041" w:type="dxa"/>
                  <w:vAlign w:val="center"/>
                </w:tcPr>
                <w:p w14:paraId="679D518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说明</w:t>
                  </w:r>
                </w:p>
              </w:tc>
            </w:tr>
            <w:tr w14:paraId="380A853B">
              <w:tblPrEx>
                <w:tblCellMar>
                  <w:top w:w="0" w:type="dxa"/>
                  <w:left w:w="108" w:type="dxa"/>
                  <w:bottom w:w="0" w:type="dxa"/>
                  <w:right w:w="108" w:type="dxa"/>
                </w:tblCellMar>
              </w:tblPrEx>
              <w:trPr>
                <w:jc w:val="center"/>
              </w:trPr>
              <w:tc>
                <w:tcPr>
                  <w:tcW w:w="3041" w:type="dxa"/>
                  <w:vAlign w:val="center"/>
                </w:tcPr>
                <w:p w14:paraId="60CDE25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验证折数</w:t>
                  </w:r>
                </w:p>
              </w:tc>
              <w:tc>
                <w:tcPr>
                  <w:tcW w:w="3041" w:type="dxa"/>
                  <w:vAlign w:val="center"/>
                </w:tcPr>
                <w:p w14:paraId="0E82E68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w:t>
                  </w:r>
                </w:p>
              </w:tc>
              <w:tc>
                <w:tcPr>
                  <w:tcW w:w="3041" w:type="dxa"/>
                  <w:vAlign w:val="center"/>
                </w:tcPr>
                <w:p w14:paraId="6DC492F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扩展窗口 CV</w:t>
                  </w:r>
                </w:p>
              </w:tc>
            </w:tr>
            <w:tr w14:paraId="0E40EA49">
              <w:tblPrEx>
                <w:tblCellMar>
                  <w:top w:w="0" w:type="dxa"/>
                  <w:left w:w="108" w:type="dxa"/>
                  <w:bottom w:w="0" w:type="dxa"/>
                  <w:right w:w="108" w:type="dxa"/>
                </w:tblCellMar>
              </w:tblPrEx>
              <w:trPr>
                <w:jc w:val="center"/>
              </w:trPr>
              <w:tc>
                <w:tcPr>
                  <w:tcW w:w="3041" w:type="dxa"/>
                  <w:vAlign w:val="center"/>
                </w:tcPr>
                <w:p w14:paraId="3FEB222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总预测样本</w:t>
                  </w:r>
                </w:p>
              </w:tc>
              <w:tc>
                <w:tcPr>
                  <w:tcW w:w="3041" w:type="dxa"/>
                  <w:vAlign w:val="center"/>
                </w:tcPr>
                <w:p w14:paraId="7A3CDF1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343</w:t>
                  </w:r>
                </w:p>
              </w:tc>
              <w:tc>
                <w:tcPr>
                  <w:tcW w:w="3041" w:type="dxa"/>
                  <w:vAlign w:val="center"/>
                </w:tcPr>
                <w:p w14:paraId="4F07EAE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样本外预测总数</w:t>
                  </w:r>
                </w:p>
              </w:tc>
            </w:tr>
            <w:tr w14:paraId="7C055CB8">
              <w:tblPrEx>
                <w:tblCellMar>
                  <w:top w:w="0" w:type="dxa"/>
                  <w:left w:w="108" w:type="dxa"/>
                  <w:bottom w:w="0" w:type="dxa"/>
                  <w:right w:w="108" w:type="dxa"/>
                </w:tblCellMar>
              </w:tblPrEx>
              <w:trPr>
                <w:jc w:val="center"/>
              </w:trPr>
              <w:tc>
                <w:tcPr>
                  <w:tcW w:w="3041" w:type="dxa"/>
                  <w:vAlign w:val="center"/>
                </w:tcPr>
                <w:p w14:paraId="669B2FE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总体准确率</w:t>
                  </w:r>
                </w:p>
              </w:tc>
              <w:tc>
                <w:tcPr>
                  <w:tcW w:w="3041" w:type="dxa"/>
                  <w:vAlign w:val="center"/>
                </w:tcPr>
                <w:p w14:paraId="3F0380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39.94%</w:t>
                  </w:r>
                </w:p>
              </w:tc>
              <w:tc>
                <w:tcPr>
                  <w:tcW w:w="3041" w:type="dxa"/>
                  <w:vAlign w:val="center"/>
                </w:tcPr>
                <w:p w14:paraId="7BF4E37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w:t>
                  </w:r>
                </w:p>
              </w:tc>
            </w:tr>
            <w:tr w14:paraId="7273C1E8">
              <w:tblPrEx>
                <w:tblCellMar>
                  <w:top w:w="0" w:type="dxa"/>
                  <w:left w:w="108" w:type="dxa"/>
                  <w:bottom w:w="0" w:type="dxa"/>
                  <w:right w:w="108" w:type="dxa"/>
                </w:tblCellMar>
              </w:tblPrEx>
              <w:trPr>
                <w:jc w:val="center"/>
              </w:trPr>
              <w:tc>
                <w:tcPr>
                  <w:tcW w:w="3041" w:type="dxa"/>
                  <w:vAlign w:val="center"/>
                </w:tcPr>
                <w:p w14:paraId="02F356A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总体基线</w:t>
                  </w:r>
                </w:p>
              </w:tc>
              <w:tc>
                <w:tcPr>
                  <w:tcW w:w="3041" w:type="dxa"/>
                  <w:vAlign w:val="center"/>
                </w:tcPr>
                <w:p w14:paraId="48B982D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60.06%</w:t>
                  </w:r>
                </w:p>
              </w:tc>
              <w:tc>
                <w:tcPr>
                  <w:tcW w:w="3041" w:type="dxa"/>
                  <w:vAlign w:val="center"/>
                </w:tcPr>
                <w:p w14:paraId="238204F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多数类占比</w:t>
                  </w:r>
                </w:p>
              </w:tc>
            </w:tr>
            <w:tr w14:paraId="1830175C">
              <w:tblPrEx>
                <w:tblCellMar>
                  <w:top w:w="0" w:type="dxa"/>
                  <w:left w:w="108" w:type="dxa"/>
                  <w:bottom w:w="0" w:type="dxa"/>
                  <w:right w:w="108" w:type="dxa"/>
                </w:tblCellMar>
              </w:tblPrEx>
              <w:trPr>
                <w:jc w:val="center"/>
              </w:trPr>
              <w:tc>
                <w:tcPr>
                  <w:tcW w:w="3041" w:type="dxa"/>
                  <w:vAlign w:val="center"/>
                </w:tcPr>
                <w:p w14:paraId="079A959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Accuracy Lift</w:t>
                  </w:r>
                </w:p>
              </w:tc>
              <w:tc>
                <w:tcPr>
                  <w:tcW w:w="3041" w:type="dxa"/>
                  <w:vAlign w:val="center"/>
                </w:tcPr>
                <w:p w14:paraId="6009F54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-20.1pp</w:t>
                  </w:r>
                </w:p>
              </w:tc>
              <w:tc>
                <w:tcPr>
                  <w:tcW w:w="3041" w:type="dxa"/>
                  <w:vAlign w:val="center"/>
                </w:tcPr>
                <w:p w14:paraId="2D9775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低于基线</w:t>
                  </w:r>
                </w:p>
              </w:tc>
            </w:tr>
            <w:tr w14:paraId="3B53548E">
              <w:tblPrEx>
                <w:tblCellMar>
                  <w:top w:w="0" w:type="dxa"/>
                  <w:left w:w="108" w:type="dxa"/>
                  <w:bottom w:w="0" w:type="dxa"/>
                  <w:right w:w="108" w:type="dxa"/>
                </w:tblCellMar>
              </w:tblPrEx>
              <w:trPr>
                <w:jc w:val="center"/>
              </w:trPr>
              <w:tc>
                <w:tcPr>
                  <w:tcW w:w="3041" w:type="dxa"/>
                  <w:vAlign w:val="center"/>
                </w:tcPr>
                <w:p w14:paraId="09D11B7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精确率</w:t>
                  </w:r>
                </w:p>
              </w:tc>
              <w:tc>
                <w:tcPr>
                  <w:tcW w:w="3041" w:type="dxa"/>
                  <w:vAlign w:val="center"/>
                </w:tcPr>
                <w:p w14:paraId="540AD29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50.00%</w:t>
                  </w:r>
                </w:p>
              </w:tc>
              <w:tc>
                <w:tcPr>
                  <w:tcW w:w="3041" w:type="dxa"/>
                  <w:vAlign w:val="center"/>
                </w:tcPr>
                <w:p w14:paraId="23E32D5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w:t>
                  </w:r>
                </w:p>
              </w:tc>
            </w:tr>
            <w:tr w14:paraId="6A9F5D4E">
              <w:tblPrEx>
                <w:tblCellMar>
                  <w:top w:w="0" w:type="dxa"/>
                  <w:left w:w="108" w:type="dxa"/>
                  <w:bottom w:w="0" w:type="dxa"/>
                  <w:right w:w="108" w:type="dxa"/>
                </w:tblCellMar>
              </w:tblPrEx>
              <w:trPr>
                <w:jc w:val="center"/>
              </w:trPr>
              <w:tc>
                <w:tcPr>
                  <w:tcW w:w="3041" w:type="dxa"/>
                  <w:vAlign w:val="center"/>
                </w:tcPr>
                <w:p w14:paraId="414FB68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召回率</w:t>
                  </w:r>
                </w:p>
              </w:tc>
              <w:tc>
                <w:tcPr>
                  <w:tcW w:w="3041" w:type="dxa"/>
                  <w:vAlign w:val="center"/>
                </w:tcPr>
                <w:p w14:paraId="5DB11EC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40.29%</w:t>
                  </w:r>
                </w:p>
              </w:tc>
              <w:tc>
                <w:tcPr>
                  <w:tcW w:w="3041" w:type="dxa"/>
                  <w:vAlign w:val="center"/>
                </w:tcPr>
                <w:p w14:paraId="10EAF05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w:t>
                  </w:r>
                </w:p>
              </w:tc>
            </w:tr>
            <w:tr w14:paraId="7333A535">
              <w:tblPrEx>
                <w:tblCellMar>
                  <w:top w:w="0" w:type="dxa"/>
                  <w:left w:w="108" w:type="dxa"/>
                  <w:bottom w:w="0" w:type="dxa"/>
                  <w:right w:w="108" w:type="dxa"/>
                </w:tblCellMar>
              </w:tblPrEx>
              <w:trPr>
                <w:jc w:val="center"/>
              </w:trPr>
              <w:tc>
                <w:tcPr>
                  <w:tcW w:w="3041" w:type="dxa"/>
                  <w:vAlign w:val="center"/>
                </w:tcPr>
                <w:p w14:paraId="629F4E4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F1 值</w:t>
                  </w:r>
                </w:p>
              </w:tc>
              <w:tc>
                <w:tcPr>
                  <w:tcW w:w="3041" w:type="dxa"/>
                  <w:vAlign w:val="center"/>
                </w:tcPr>
                <w:p w14:paraId="3255629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44.62%</w:t>
                  </w:r>
                </w:p>
              </w:tc>
              <w:tc>
                <w:tcPr>
                  <w:tcW w:w="3041" w:type="dxa"/>
                  <w:vAlign w:val="center"/>
                </w:tcPr>
                <w:p w14:paraId="2077437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w:t>
                  </w:r>
                </w:p>
              </w:tc>
            </w:tr>
          </w:tbl>
          <w:p w14:paraId="6ABE2CFD">
            <w:pPr>
              <w:rPr>
                <w:rFonts w:hint="default" w:ascii="Times New Roman" w:hAnsi="Times New Roman" w:eastAsia="宋体" w:cs="Times New Roman"/>
              </w:rPr>
            </w:pPr>
          </w:p>
          <w:p w14:paraId="3BEC50AD">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各折详细结果：</w:t>
            </w:r>
          </w:p>
          <w:tbl>
            <w:tblPr>
              <w:tblStyle w:val="5"/>
              <w:tblW w:w="0" w:type="auto"/>
              <w:jc w:val="center"/>
              <w:tblLayout w:type="fixed"/>
              <w:tblCellMar>
                <w:top w:w="0" w:type="dxa"/>
                <w:left w:w="108" w:type="dxa"/>
                <w:bottom w:w="0" w:type="dxa"/>
                <w:right w:w="108" w:type="dxa"/>
              </w:tblCellMar>
            </w:tblPr>
            <w:tblGrid>
              <w:gridCol w:w="1140"/>
              <w:gridCol w:w="1140"/>
              <w:gridCol w:w="1140"/>
              <w:gridCol w:w="1140"/>
              <w:gridCol w:w="1140"/>
              <w:gridCol w:w="1140"/>
              <w:gridCol w:w="1140"/>
              <w:gridCol w:w="1140"/>
            </w:tblGrid>
            <w:tr w14:paraId="63DA5EB7">
              <w:tblPrEx>
                <w:tblCellMar>
                  <w:top w:w="0" w:type="dxa"/>
                  <w:left w:w="108" w:type="dxa"/>
                  <w:bottom w:w="0" w:type="dxa"/>
                  <w:right w:w="108" w:type="dxa"/>
                </w:tblCellMar>
              </w:tblPrEx>
              <w:trPr>
                <w:jc w:val="center"/>
              </w:trPr>
              <w:tc>
                <w:tcPr>
                  <w:tcW w:w="1140" w:type="dxa"/>
                  <w:vAlign w:val="center"/>
                </w:tcPr>
                <w:p w14:paraId="307662A1">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折</w:t>
                  </w:r>
                </w:p>
              </w:tc>
              <w:tc>
                <w:tcPr>
                  <w:tcW w:w="1140" w:type="dxa"/>
                  <w:vAlign w:val="center"/>
                </w:tcPr>
                <w:p w14:paraId="385271AD">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训练集大小</w:t>
                  </w:r>
                </w:p>
              </w:tc>
              <w:tc>
                <w:tcPr>
                  <w:tcW w:w="1140" w:type="dxa"/>
                  <w:vAlign w:val="center"/>
                </w:tcPr>
                <w:p w14:paraId="0C5B3E8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测试集大小</w:t>
                  </w:r>
                </w:p>
              </w:tc>
              <w:tc>
                <w:tcPr>
                  <w:tcW w:w="1140" w:type="dxa"/>
                  <w:vAlign w:val="center"/>
                </w:tcPr>
                <w:p w14:paraId="70BAC689">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准确率</w:t>
                  </w:r>
                </w:p>
              </w:tc>
              <w:tc>
                <w:tcPr>
                  <w:tcW w:w="1140" w:type="dxa"/>
                  <w:vAlign w:val="center"/>
                </w:tcPr>
                <w:p w14:paraId="547B95F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基线</w:t>
                  </w:r>
                </w:p>
              </w:tc>
              <w:tc>
                <w:tcPr>
                  <w:tcW w:w="1140" w:type="dxa"/>
                  <w:vAlign w:val="center"/>
                </w:tcPr>
                <w:p w14:paraId="06CC336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精确率</w:t>
                  </w:r>
                </w:p>
              </w:tc>
              <w:tc>
                <w:tcPr>
                  <w:tcW w:w="1140" w:type="dxa"/>
                  <w:vAlign w:val="center"/>
                </w:tcPr>
                <w:p w14:paraId="5AF744F9">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召回率</w:t>
                  </w:r>
                </w:p>
              </w:tc>
              <w:tc>
                <w:tcPr>
                  <w:tcW w:w="1140" w:type="dxa"/>
                  <w:vAlign w:val="center"/>
                </w:tcPr>
                <w:p w14:paraId="00B2E0A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F1</w:t>
                  </w:r>
                </w:p>
              </w:tc>
            </w:tr>
            <w:tr w14:paraId="35E5EFC5">
              <w:tblPrEx>
                <w:tblCellMar>
                  <w:top w:w="0" w:type="dxa"/>
                  <w:left w:w="108" w:type="dxa"/>
                  <w:bottom w:w="0" w:type="dxa"/>
                  <w:right w:w="108" w:type="dxa"/>
                </w:tblCellMar>
              </w:tblPrEx>
              <w:trPr>
                <w:jc w:val="center"/>
              </w:trPr>
              <w:tc>
                <w:tcPr>
                  <w:tcW w:w="1140" w:type="dxa"/>
                  <w:vAlign w:val="center"/>
                </w:tcPr>
                <w:p w14:paraId="1E9C217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w:t>
                  </w:r>
                </w:p>
              </w:tc>
              <w:tc>
                <w:tcPr>
                  <w:tcW w:w="1140" w:type="dxa"/>
                  <w:vAlign w:val="center"/>
                </w:tcPr>
                <w:p w14:paraId="3934F49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190</w:t>
                  </w:r>
                </w:p>
              </w:tc>
              <w:tc>
                <w:tcPr>
                  <w:tcW w:w="1140" w:type="dxa"/>
                  <w:vAlign w:val="center"/>
                </w:tcPr>
                <w:p w14:paraId="55E8211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68</w:t>
                  </w:r>
                </w:p>
              </w:tc>
              <w:tc>
                <w:tcPr>
                  <w:tcW w:w="1140" w:type="dxa"/>
                  <w:vAlign w:val="center"/>
                </w:tcPr>
                <w:p w14:paraId="254B7A0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51.47%</w:t>
                  </w:r>
                </w:p>
              </w:tc>
              <w:tc>
                <w:tcPr>
                  <w:tcW w:w="1140" w:type="dxa"/>
                  <w:vAlign w:val="center"/>
                </w:tcPr>
                <w:p w14:paraId="109E88C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54.41%</w:t>
                  </w:r>
                </w:p>
              </w:tc>
              <w:tc>
                <w:tcPr>
                  <w:tcW w:w="1140" w:type="dxa"/>
                  <w:vAlign w:val="center"/>
                </w:tcPr>
                <w:p w14:paraId="2DFA084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46.43%</w:t>
                  </w:r>
                </w:p>
              </w:tc>
              <w:tc>
                <w:tcPr>
                  <w:tcW w:w="1140" w:type="dxa"/>
                  <w:vAlign w:val="center"/>
                </w:tcPr>
                <w:p w14:paraId="1ED3030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41.94%</w:t>
                  </w:r>
                </w:p>
              </w:tc>
              <w:tc>
                <w:tcPr>
                  <w:tcW w:w="1140" w:type="dxa"/>
                  <w:vAlign w:val="center"/>
                </w:tcPr>
                <w:p w14:paraId="7015E42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44.07%</w:t>
                  </w:r>
                </w:p>
              </w:tc>
            </w:tr>
            <w:tr w14:paraId="627F13F7">
              <w:tblPrEx>
                <w:tblCellMar>
                  <w:top w:w="0" w:type="dxa"/>
                  <w:left w:w="108" w:type="dxa"/>
                  <w:bottom w:w="0" w:type="dxa"/>
                  <w:right w:w="108" w:type="dxa"/>
                </w:tblCellMar>
              </w:tblPrEx>
              <w:trPr>
                <w:jc w:val="center"/>
              </w:trPr>
              <w:tc>
                <w:tcPr>
                  <w:tcW w:w="1140" w:type="dxa"/>
                  <w:vAlign w:val="center"/>
                </w:tcPr>
                <w:p w14:paraId="482F9BF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w:t>
                  </w:r>
                </w:p>
              </w:tc>
              <w:tc>
                <w:tcPr>
                  <w:tcW w:w="1140" w:type="dxa"/>
                  <w:vAlign w:val="center"/>
                </w:tcPr>
                <w:p w14:paraId="72A7011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258</w:t>
                  </w:r>
                </w:p>
              </w:tc>
              <w:tc>
                <w:tcPr>
                  <w:tcW w:w="1140" w:type="dxa"/>
                  <w:vAlign w:val="center"/>
                </w:tcPr>
                <w:p w14:paraId="4C3CFC0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68</w:t>
                  </w:r>
                </w:p>
              </w:tc>
              <w:tc>
                <w:tcPr>
                  <w:tcW w:w="1140" w:type="dxa"/>
                  <w:vAlign w:val="center"/>
                </w:tcPr>
                <w:p w14:paraId="57BA0C0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36.76%</w:t>
                  </w:r>
                </w:p>
              </w:tc>
              <w:tc>
                <w:tcPr>
                  <w:tcW w:w="1140" w:type="dxa"/>
                  <w:vAlign w:val="center"/>
                </w:tcPr>
                <w:p w14:paraId="637309C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66.18%</w:t>
                  </w:r>
                </w:p>
              </w:tc>
              <w:tc>
                <w:tcPr>
                  <w:tcW w:w="1140" w:type="dxa"/>
                  <w:vAlign w:val="center"/>
                </w:tcPr>
                <w:p w14:paraId="5792D52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54.55%</w:t>
                  </w:r>
                </w:p>
              </w:tc>
              <w:tc>
                <w:tcPr>
                  <w:tcW w:w="1140" w:type="dxa"/>
                  <w:vAlign w:val="center"/>
                </w:tcPr>
                <w:p w14:paraId="6AF9948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26.67%</w:t>
                  </w:r>
                </w:p>
              </w:tc>
              <w:tc>
                <w:tcPr>
                  <w:tcW w:w="1140" w:type="dxa"/>
                  <w:vAlign w:val="center"/>
                </w:tcPr>
                <w:p w14:paraId="3328800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35.82%</w:t>
                  </w:r>
                </w:p>
              </w:tc>
            </w:tr>
            <w:tr w14:paraId="30DFDBFA">
              <w:tblPrEx>
                <w:tblCellMar>
                  <w:top w:w="0" w:type="dxa"/>
                  <w:left w:w="108" w:type="dxa"/>
                  <w:bottom w:w="0" w:type="dxa"/>
                  <w:right w:w="108" w:type="dxa"/>
                </w:tblCellMar>
              </w:tblPrEx>
              <w:trPr>
                <w:jc w:val="center"/>
              </w:trPr>
              <w:tc>
                <w:tcPr>
                  <w:tcW w:w="1140" w:type="dxa"/>
                  <w:vAlign w:val="center"/>
                </w:tcPr>
                <w:p w14:paraId="7F502B2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w:t>
                  </w:r>
                </w:p>
              </w:tc>
              <w:tc>
                <w:tcPr>
                  <w:tcW w:w="1140" w:type="dxa"/>
                  <w:vAlign w:val="center"/>
                </w:tcPr>
                <w:p w14:paraId="424387F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326</w:t>
                  </w:r>
                </w:p>
              </w:tc>
              <w:tc>
                <w:tcPr>
                  <w:tcW w:w="1140" w:type="dxa"/>
                  <w:vAlign w:val="center"/>
                </w:tcPr>
                <w:p w14:paraId="56AD51B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68</w:t>
                  </w:r>
                </w:p>
              </w:tc>
              <w:tc>
                <w:tcPr>
                  <w:tcW w:w="1140" w:type="dxa"/>
                  <w:vAlign w:val="center"/>
                </w:tcPr>
                <w:p w14:paraId="6DBB773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25.00%</w:t>
                  </w:r>
                </w:p>
              </w:tc>
              <w:tc>
                <w:tcPr>
                  <w:tcW w:w="1140" w:type="dxa"/>
                  <w:vAlign w:val="center"/>
                </w:tcPr>
                <w:p w14:paraId="416F254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58.82%</w:t>
                  </w:r>
                </w:p>
              </w:tc>
              <w:tc>
                <w:tcPr>
                  <w:tcW w:w="1140" w:type="dxa"/>
                  <w:vAlign w:val="center"/>
                </w:tcPr>
                <w:p w14:paraId="7BFB2C7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26.09%</w:t>
                  </w:r>
                </w:p>
              </w:tc>
              <w:tc>
                <w:tcPr>
                  <w:tcW w:w="1140" w:type="dxa"/>
                  <w:vAlign w:val="center"/>
                </w:tcPr>
                <w:p w14:paraId="445859F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15.00%</w:t>
                  </w:r>
                </w:p>
              </w:tc>
              <w:tc>
                <w:tcPr>
                  <w:tcW w:w="1140" w:type="dxa"/>
                  <w:vAlign w:val="center"/>
                </w:tcPr>
                <w:p w14:paraId="56A4EE6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19.05%</w:t>
                  </w:r>
                </w:p>
              </w:tc>
            </w:tr>
            <w:tr w14:paraId="1D8CD0FD">
              <w:tblPrEx>
                <w:tblCellMar>
                  <w:top w:w="0" w:type="dxa"/>
                  <w:left w:w="108" w:type="dxa"/>
                  <w:bottom w:w="0" w:type="dxa"/>
                  <w:right w:w="108" w:type="dxa"/>
                </w:tblCellMar>
              </w:tblPrEx>
              <w:trPr>
                <w:jc w:val="center"/>
              </w:trPr>
              <w:tc>
                <w:tcPr>
                  <w:tcW w:w="1140" w:type="dxa"/>
                  <w:vAlign w:val="center"/>
                </w:tcPr>
                <w:p w14:paraId="006CD1E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w:t>
                  </w:r>
                </w:p>
              </w:tc>
              <w:tc>
                <w:tcPr>
                  <w:tcW w:w="1140" w:type="dxa"/>
                  <w:vAlign w:val="center"/>
                </w:tcPr>
                <w:p w14:paraId="65D3C6C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394</w:t>
                  </w:r>
                </w:p>
              </w:tc>
              <w:tc>
                <w:tcPr>
                  <w:tcW w:w="1140" w:type="dxa"/>
                  <w:vAlign w:val="center"/>
                </w:tcPr>
                <w:p w14:paraId="36DCA4D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68</w:t>
                  </w:r>
                </w:p>
              </w:tc>
              <w:tc>
                <w:tcPr>
                  <w:tcW w:w="1140" w:type="dxa"/>
                  <w:vAlign w:val="center"/>
                </w:tcPr>
                <w:p w14:paraId="0F30799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36.76%</w:t>
                  </w:r>
                </w:p>
              </w:tc>
              <w:tc>
                <w:tcPr>
                  <w:tcW w:w="1140" w:type="dxa"/>
                  <w:vAlign w:val="center"/>
                </w:tcPr>
                <w:p w14:paraId="1E19973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70.59%</w:t>
                  </w:r>
                </w:p>
              </w:tc>
              <w:tc>
                <w:tcPr>
                  <w:tcW w:w="1140" w:type="dxa"/>
                  <w:vAlign w:val="center"/>
                </w:tcPr>
                <w:p w14:paraId="009534D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57.14%</w:t>
                  </w:r>
                </w:p>
              </w:tc>
              <w:tc>
                <w:tcPr>
                  <w:tcW w:w="1140" w:type="dxa"/>
                  <w:vAlign w:val="center"/>
                </w:tcPr>
                <w:p w14:paraId="5A9D96F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41.67%</w:t>
                  </w:r>
                </w:p>
              </w:tc>
              <w:tc>
                <w:tcPr>
                  <w:tcW w:w="1140" w:type="dxa"/>
                  <w:vAlign w:val="center"/>
                </w:tcPr>
                <w:p w14:paraId="4AF387D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48.19%</w:t>
                  </w:r>
                </w:p>
              </w:tc>
            </w:tr>
            <w:tr w14:paraId="6CB5AA71">
              <w:tblPrEx>
                <w:tblCellMar>
                  <w:top w:w="0" w:type="dxa"/>
                  <w:left w:w="108" w:type="dxa"/>
                  <w:bottom w:w="0" w:type="dxa"/>
                  <w:right w:w="108" w:type="dxa"/>
                </w:tblCellMar>
              </w:tblPrEx>
              <w:trPr>
                <w:jc w:val="center"/>
              </w:trPr>
              <w:tc>
                <w:tcPr>
                  <w:tcW w:w="1140" w:type="dxa"/>
                  <w:vAlign w:val="center"/>
                </w:tcPr>
                <w:p w14:paraId="7D308EF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w:t>
                  </w:r>
                </w:p>
              </w:tc>
              <w:tc>
                <w:tcPr>
                  <w:tcW w:w="1140" w:type="dxa"/>
                  <w:vAlign w:val="center"/>
                </w:tcPr>
                <w:p w14:paraId="4D19A9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462</w:t>
                  </w:r>
                </w:p>
              </w:tc>
              <w:tc>
                <w:tcPr>
                  <w:tcW w:w="1140" w:type="dxa"/>
                  <w:vAlign w:val="center"/>
                </w:tcPr>
                <w:p w14:paraId="5EFF8CD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71</w:t>
                  </w:r>
                </w:p>
              </w:tc>
              <w:tc>
                <w:tcPr>
                  <w:tcW w:w="1140" w:type="dxa"/>
                  <w:vAlign w:val="center"/>
                </w:tcPr>
                <w:p w14:paraId="5780DE5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49.30%</w:t>
                  </w:r>
                </w:p>
              </w:tc>
              <w:tc>
                <w:tcPr>
                  <w:tcW w:w="1140" w:type="dxa"/>
                  <w:vAlign w:val="center"/>
                </w:tcPr>
                <w:p w14:paraId="4E7390C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59.15%</w:t>
                  </w:r>
                </w:p>
              </w:tc>
              <w:tc>
                <w:tcPr>
                  <w:tcW w:w="1140" w:type="dxa"/>
                  <w:vAlign w:val="center"/>
                </w:tcPr>
                <w:p w14:paraId="05C4718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55.17%</w:t>
                  </w:r>
                </w:p>
              </w:tc>
              <w:tc>
                <w:tcPr>
                  <w:tcW w:w="1140" w:type="dxa"/>
                  <w:vAlign w:val="center"/>
                </w:tcPr>
                <w:p w14:paraId="20D7CB8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76.19%</w:t>
                  </w:r>
                </w:p>
              </w:tc>
              <w:tc>
                <w:tcPr>
                  <w:tcW w:w="1140" w:type="dxa"/>
                  <w:vAlign w:val="center"/>
                </w:tcPr>
                <w:p w14:paraId="0D12CFB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64.00%</w:t>
                  </w:r>
                </w:p>
              </w:tc>
            </w:tr>
          </w:tbl>
          <w:p w14:paraId="31377628">
            <w:pPr>
              <w:rPr>
                <w:rFonts w:hint="default" w:ascii="Times New Roman" w:hAnsi="Times New Roman" w:eastAsia="宋体" w:cs="Times New Roman"/>
              </w:rPr>
            </w:pPr>
          </w:p>
          <w:p w14:paraId="40CF8B8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从结果看，LSTM 在 MU 股票的 5 折扩展窗口验证中总体准确率仅为 39.94%，明显低于 60.06% 的基线水平，且各折表现波动较大。这说明模型并未稳定学习到可迁移的时序模式，至少在当前样本规模和特征条件下，没有体现出优于树模型的泛化能力。</w:t>
            </w:r>
          </w:p>
          <w:p w14:paraId="4EAE8D63">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造成 LSTM 表现不佳的可能原因包括：</w:t>
            </w:r>
          </w:p>
          <w:p w14:paraId="1BB2ED0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样本规模不足：经中性新闻过滤后，有效训练序列数仅 533 条（10 日滑动窗口后），远低于深度学习模型通常需要的数据量。</w:t>
            </w:r>
          </w:p>
          <w:p w14:paraId="4624563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标签噪声：target_t3（3 日后涨跌）本身信号较弱，基线已达 60%，表明正负样本不均衡且价格变动受随机因素影响大。</w:t>
            </w:r>
          </w:p>
          <w:p w14:paraId="3B7FBB20">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特征形态不适配：本项目特征为按交易日聚合的结构化表格特征，并非高频连续序列，LSTM 的序列建模优势难以发挥。</w:t>
            </w:r>
          </w:p>
          <w:p w14:paraId="33D32D1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模型容量与过拟合：2 层 LSTM 在小样本上容易过拟合训练集分布，导致样本外泛化能力弱。</w:t>
            </w:r>
          </w:p>
          <w:p w14:paraId="2FDF287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总体而言，LSTM 在当前项目的数据规模和特征条件下，并未显示出优于 XGBoost 的预测能力，反而明显弱于基线。这一结果进一步支持了本项目以 XGBoost 作为主模型的决策：对于当前这种中小规模、以结构化表格特征为主的金融任务，梯度提升树模型在样本效率和泛化稳定性方面更具优势。换言之，LSTM 拓展实验的价值并不在于“证明深度学习更强”，而在于通过实证说明：在本项目条件下，模型选择应基于数据特征和验证结果，而不是方法本身的复杂度。</w:t>
            </w:r>
          </w:p>
          <w:p w14:paraId="4923A4E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模型产物已保存至 backend/ml/models/ 目录，包括 MU_lstm.pt（模型权重）、MU_lstm_scaler.joblib（特征缩放器）和 MU_lstm_meta.json（模型元数据），回测详情见 MU_lstm_target_t3_seq10_exneutral_backtest.json。如果后续改用 --target-col target_t5 或其他配置，回测结果文件名也会自动包含对应目标列和配置后缀，避免不同实验互相覆盖。</w:t>
            </w:r>
          </w:p>
          <w:p w14:paraId="74C753EE">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4.5.4 多模型对比实验结果（2026-05-03）</w:t>
            </w:r>
          </w:p>
          <w:p w14:paraId="59ECF85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为验证 XGBoost 作为主模型的选择是否合理，项目在相同数据、相同特征集和相同扩展窗口验证框架下，对 XGBoost、LightGBM、Random Forest 和 Logistic Regression 四种算法进行了系统对比。其目的并不是单纯寻找“分数最高的模型”，而是判断当前任务的性能瓶颈究竟主要来自算法选择，还是来自标签与特征本身。</w:t>
            </w:r>
          </w:p>
          <w:p w14:paraId="15B53A0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详细实验报告见 [doc/model_comparison_report.md](./model_comparison_report.md)（由 backend/ml/experiment.py 生成），原始结果数据见以下 JSON 文件：</w:t>
            </w:r>
          </w:p>
          <w:p w14:paraId="1ED36538">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backend/ml/models/MU_experiment_results.json — MU 股票 32 个组合的完整四算法对比结果</w:t>
            </w:r>
          </w:p>
          <w:p w14:paraId="3C8CB68B">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backend/ml/models/NVDA_experiment_results.json — NVDA 股票 32 个组合的完整四算法对比结果</w:t>
            </w:r>
          </w:p>
          <w:p w14:paraId="1F4181C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 backend/ml/models/AAPL_experiment_results.json — AAPL 股票 32 个组合的完整四算法对比结果</w:t>
            </w:r>
          </w:p>
          <w:p w14:paraId="38C2161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可通过以下命令复现多模型对比实验：</w:t>
            </w:r>
          </w:p>
          <w:p w14:paraId="013F99B5">
            <w:pPr>
              <w:spacing w:before="0" w:after="120" w:line="24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0"/>
              </w:rPr>
              <w:t>.\venv\Scripts\python.exe -m backend.ml.experiment MU NVDA AAPL</w:t>
            </w:r>
          </w:p>
          <w:p w14:paraId="0C8BBADE">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实验配置：在 MU、NVDA、AAPL 三只股票上，分别使用 v1_base、v2_market、v2_candle、v2_full 四种特征集和 8 种目标标签，共产生 32 个实验组合/股票，统一采用 5 折扩展窗口验证。</w:t>
            </w:r>
          </w:p>
          <w:p w14:paraId="2729C842">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四算法 AUC 均值对比（跨股票汇总）：</w:t>
            </w:r>
          </w:p>
          <w:tbl>
            <w:tblPr>
              <w:tblStyle w:val="5"/>
              <w:tblW w:w="0" w:type="auto"/>
              <w:jc w:val="center"/>
              <w:tblLayout w:type="fixed"/>
              <w:tblCellMar>
                <w:top w:w="0" w:type="dxa"/>
                <w:left w:w="108" w:type="dxa"/>
                <w:bottom w:w="0" w:type="dxa"/>
                <w:right w:w="108" w:type="dxa"/>
              </w:tblCellMar>
            </w:tblPr>
            <w:tblGrid>
              <w:gridCol w:w="1824"/>
              <w:gridCol w:w="1824"/>
              <w:gridCol w:w="1824"/>
              <w:gridCol w:w="1824"/>
              <w:gridCol w:w="1824"/>
            </w:tblGrid>
            <w:tr w14:paraId="209AEFDA">
              <w:tblPrEx>
                <w:tblCellMar>
                  <w:top w:w="0" w:type="dxa"/>
                  <w:left w:w="108" w:type="dxa"/>
                  <w:bottom w:w="0" w:type="dxa"/>
                  <w:right w:w="108" w:type="dxa"/>
                </w:tblCellMar>
              </w:tblPrEx>
              <w:trPr>
                <w:jc w:val="center"/>
              </w:trPr>
              <w:tc>
                <w:tcPr>
                  <w:tcW w:w="1824" w:type="dxa"/>
                  <w:vAlign w:val="center"/>
                </w:tcPr>
                <w:p w14:paraId="500AE70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算法</w:t>
                  </w:r>
                </w:p>
              </w:tc>
              <w:tc>
                <w:tcPr>
                  <w:tcW w:w="1824" w:type="dxa"/>
                  <w:vAlign w:val="center"/>
                </w:tcPr>
                <w:p w14:paraId="67A5E68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MU AUC 均值</w:t>
                  </w:r>
                </w:p>
              </w:tc>
              <w:tc>
                <w:tcPr>
                  <w:tcW w:w="1824" w:type="dxa"/>
                  <w:vAlign w:val="center"/>
                </w:tcPr>
                <w:p w14:paraId="22725874">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NVDA AUC 均值</w:t>
                  </w:r>
                </w:p>
              </w:tc>
              <w:tc>
                <w:tcPr>
                  <w:tcW w:w="1824" w:type="dxa"/>
                  <w:vAlign w:val="center"/>
                </w:tcPr>
                <w:p w14:paraId="584CC67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AAPL AUC 均值</w:t>
                  </w:r>
                </w:p>
              </w:tc>
              <w:tc>
                <w:tcPr>
                  <w:tcW w:w="1824" w:type="dxa"/>
                  <w:vAlign w:val="center"/>
                </w:tcPr>
                <w:p w14:paraId="2B80229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三股票均值</w:t>
                  </w:r>
                </w:p>
              </w:tc>
            </w:tr>
            <w:tr w14:paraId="33D1244B">
              <w:tblPrEx>
                <w:tblCellMar>
                  <w:top w:w="0" w:type="dxa"/>
                  <w:left w:w="108" w:type="dxa"/>
                  <w:bottom w:w="0" w:type="dxa"/>
                  <w:right w:w="108" w:type="dxa"/>
                </w:tblCellMar>
              </w:tblPrEx>
              <w:trPr>
                <w:jc w:val="center"/>
              </w:trPr>
              <w:tc>
                <w:tcPr>
                  <w:tcW w:w="1824" w:type="dxa"/>
                  <w:vAlign w:val="center"/>
                </w:tcPr>
                <w:p w14:paraId="7FA778E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w:t>
                  </w:r>
                </w:p>
              </w:tc>
              <w:tc>
                <w:tcPr>
                  <w:tcW w:w="1824" w:type="dxa"/>
                  <w:vAlign w:val="center"/>
                </w:tcPr>
                <w:p w14:paraId="39F97BC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0.5001</w:t>
                  </w:r>
                </w:p>
              </w:tc>
              <w:tc>
                <w:tcPr>
                  <w:tcW w:w="1824" w:type="dxa"/>
                  <w:vAlign w:val="center"/>
                </w:tcPr>
                <w:p w14:paraId="73E1E86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0.5147</w:t>
                  </w:r>
                </w:p>
              </w:tc>
              <w:tc>
                <w:tcPr>
                  <w:tcW w:w="1824" w:type="dxa"/>
                  <w:vAlign w:val="center"/>
                </w:tcPr>
                <w:p w14:paraId="02F36A1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0.5341</w:t>
                  </w:r>
                </w:p>
              </w:tc>
              <w:tc>
                <w:tcPr>
                  <w:tcW w:w="1824" w:type="dxa"/>
                  <w:vAlign w:val="center"/>
                </w:tcPr>
                <w:p w14:paraId="45CC5DD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0.5163</w:t>
                  </w:r>
                </w:p>
              </w:tc>
            </w:tr>
            <w:tr w14:paraId="4C78F48A">
              <w:tblPrEx>
                <w:tblCellMar>
                  <w:top w:w="0" w:type="dxa"/>
                  <w:left w:w="108" w:type="dxa"/>
                  <w:bottom w:w="0" w:type="dxa"/>
                  <w:right w:w="108" w:type="dxa"/>
                </w:tblCellMar>
              </w:tblPrEx>
              <w:trPr>
                <w:jc w:val="center"/>
              </w:trPr>
              <w:tc>
                <w:tcPr>
                  <w:tcW w:w="1824" w:type="dxa"/>
                  <w:vAlign w:val="center"/>
                </w:tcPr>
                <w:p w14:paraId="20CD312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LightGBM</w:t>
                  </w:r>
                </w:p>
              </w:tc>
              <w:tc>
                <w:tcPr>
                  <w:tcW w:w="1824" w:type="dxa"/>
                  <w:vAlign w:val="center"/>
                </w:tcPr>
                <w:p w14:paraId="6998556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0.5043</w:t>
                  </w:r>
                </w:p>
              </w:tc>
              <w:tc>
                <w:tcPr>
                  <w:tcW w:w="1824" w:type="dxa"/>
                  <w:vAlign w:val="center"/>
                </w:tcPr>
                <w:p w14:paraId="0A332E6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0.5159</w:t>
                  </w:r>
                </w:p>
              </w:tc>
              <w:tc>
                <w:tcPr>
                  <w:tcW w:w="1824" w:type="dxa"/>
                  <w:vAlign w:val="center"/>
                </w:tcPr>
                <w:p w14:paraId="0A1489E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0.5291</w:t>
                  </w:r>
                </w:p>
              </w:tc>
              <w:tc>
                <w:tcPr>
                  <w:tcW w:w="1824" w:type="dxa"/>
                  <w:vAlign w:val="center"/>
                </w:tcPr>
                <w:p w14:paraId="547E762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0.5164</w:t>
                  </w:r>
                </w:p>
              </w:tc>
            </w:tr>
            <w:tr w14:paraId="2EE9ADCC">
              <w:tblPrEx>
                <w:tblCellMar>
                  <w:top w:w="0" w:type="dxa"/>
                  <w:left w:w="108" w:type="dxa"/>
                  <w:bottom w:w="0" w:type="dxa"/>
                  <w:right w:w="108" w:type="dxa"/>
                </w:tblCellMar>
              </w:tblPrEx>
              <w:trPr>
                <w:jc w:val="center"/>
              </w:trPr>
              <w:tc>
                <w:tcPr>
                  <w:tcW w:w="1824" w:type="dxa"/>
                  <w:vAlign w:val="center"/>
                </w:tcPr>
                <w:p w14:paraId="3CD0DCE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Random Forest</w:t>
                  </w:r>
                </w:p>
              </w:tc>
              <w:tc>
                <w:tcPr>
                  <w:tcW w:w="1824" w:type="dxa"/>
                  <w:vAlign w:val="center"/>
                </w:tcPr>
                <w:p w14:paraId="700D519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0.5076</w:t>
                  </w:r>
                </w:p>
              </w:tc>
              <w:tc>
                <w:tcPr>
                  <w:tcW w:w="1824" w:type="dxa"/>
                  <w:vAlign w:val="center"/>
                </w:tcPr>
                <w:p w14:paraId="7E74077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0.5223</w:t>
                  </w:r>
                </w:p>
              </w:tc>
              <w:tc>
                <w:tcPr>
                  <w:tcW w:w="1824" w:type="dxa"/>
                  <w:vAlign w:val="center"/>
                </w:tcPr>
                <w:p w14:paraId="40803CD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0.5283</w:t>
                  </w:r>
                </w:p>
              </w:tc>
              <w:tc>
                <w:tcPr>
                  <w:tcW w:w="1824" w:type="dxa"/>
                  <w:vAlign w:val="center"/>
                </w:tcPr>
                <w:p w14:paraId="6851A0F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0.5194</w:t>
                  </w:r>
                </w:p>
              </w:tc>
            </w:tr>
            <w:tr w14:paraId="48BA0189">
              <w:tblPrEx>
                <w:tblCellMar>
                  <w:top w:w="0" w:type="dxa"/>
                  <w:left w:w="108" w:type="dxa"/>
                  <w:bottom w:w="0" w:type="dxa"/>
                  <w:right w:w="108" w:type="dxa"/>
                </w:tblCellMar>
              </w:tblPrEx>
              <w:trPr>
                <w:jc w:val="center"/>
              </w:trPr>
              <w:tc>
                <w:tcPr>
                  <w:tcW w:w="1824" w:type="dxa"/>
                  <w:vAlign w:val="center"/>
                </w:tcPr>
                <w:p w14:paraId="4C1DAD9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Logistic Regression</w:t>
                  </w:r>
                </w:p>
              </w:tc>
              <w:tc>
                <w:tcPr>
                  <w:tcW w:w="1824" w:type="dxa"/>
                  <w:vAlign w:val="center"/>
                </w:tcPr>
                <w:p w14:paraId="79157B8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0.4881</w:t>
                  </w:r>
                </w:p>
              </w:tc>
              <w:tc>
                <w:tcPr>
                  <w:tcW w:w="1824" w:type="dxa"/>
                  <w:vAlign w:val="center"/>
                </w:tcPr>
                <w:p w14:paraId="0D9D72C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0.5102</w:t>
                  </w:r>
                </w:p>
              </w:tc>
              <w:tc>
                <w:tcPr>
                  <w:tcW w:w="1824" w:type="dxa"/>
                  <w:vAlign w:val="center"/>
                </w:tcPr>
                <w:p w14:paraId="11E4666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0.5004</w:t>
                  </w:r>
                </w:p>
              </w:tc>
              <w:tc>
                <w:tcPr>
                  <w:tcW w:w="1824" w:type="dxa"/>
                  <w:vAlign w:val="center"/>
                </w:tcPr>
                <w:p w14:paraId="775EB99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0.4996</w:t>
                  </w:r>
                </w:p>
              </w:tc>
            </w:tr>
          </w:tbl>
          <w:p w14:paraId="733D435C">
            <w:pPr>
              <w:rPr>
                <w:rFonts w:hint="default" w:ascii="Times New Roman" w:hAnsi="Times New Roman" w:eastAsia="宋体" w:cs="Times New Roman"/>
              </w:rPr>
            </w:pPr>
          </w:p>
          <w:p w14:paraId="4964C782">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主任务对比（MU/T+5）：</w:t>
            </w:r>
          </w:p>
          <w:tbl>
            <w:tblPr>
              <w:tblStyle w:val="5"/>
              <w:tblW w:w="0" w:type="auto"/>
              <w:jc w:val="center"/>
              <w:tblLayout w:type="fixed"/>
              <w:tblCellMar>
                <w:top w:w="0" w:type="dxa"/>
                <w:left w:w="108" w:type="dxa"/>
                <w:bottom w:w="0" w:type="dxa"/>
                <w:right w:w="108" w:type="dxa"/>
              </w:tblCellMar>
            </w:tblPr>
            <w:tblGrid>
              <w:gridCol w:w="1520"/>
              <w:gridCol w:w="1520"/>
              <w:gridCol w:w="1520"/>
              <w:gridCol w:w="1520"/>
              <w:gridCol w:w="1520"/>
              <w:gridCol w:w="1520"/>
            </w:tblGrid>
            <w:tr w14:paraId="03810F44">
              <w:tblPrEx>
                <w:tblCellMar>
                  <w:top w:w="0" w:type="dxa"/>
                  <w:left w:w="108" w:type="dxa"/>
                  <w:bottom w:w="0" w:type="dxa"/>
                  <w:right w:w="108" w:type="dxa"/>
                </w:tblCellMar>
              </w:tblPrEx>
              <w:trPr>
                <w:jc w:val="center"/>
              </w:trPr>
              <w:tc>
                <w:tcPr>
                  <w:tcW w:w="1520" w:type="dxa"/>
                  <w:vAlign w:val="center"/>
                </w:tcPr>
                <w:p w14:paraId="5A166B59">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目标标签</w:t>
                  </w:r>
                </w:p>
              </w:tc>
              <w:tc>
                <w:tcPr>
                  <w:tcW w:w="1520" w:type="dxa"/>
                  <w:vAlign w:val="center"/>
                </w:tcPr>
                <w:p w14:paraId="1AA09A1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特征集</w:t>
                  </w:r>
                </w:p>
              </w:tc>
              <w:tc>
                <w:tcPr>
                  <w:tcW w:w="1520" w:type="dxa"/>
                  <w:vAlign w:val="center"/>
                </w:tcPr>
                <w:p w14:paraId="1C6C943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XGBoost AUC</w:t>
                  </w:r>
                </w:p>
              </w:tc>
              <w:tc>
                <w:tcPr>
                  <w:tcW w:w="1520" w:type="dxa"/>
                  <w:vAlign w:val="center"/>
                </w:tcPr>
                <w:p w14:paraId="5BD14CE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LightGBM AUC</w:t>
                  </w:r>
                </w:p>
              </w:tc>
              <w:tc>
                <w:tcPr>
                  <w:tcW w:w="1520" w:type="dxa"/>
                  <w:vAlign w:val="center"/>
                </w:tcPr>
                <w:p w14:paraId="4A3927CE">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RF AUC</w:t>
                  </w:r>
                </w:p>
              </w:tc>
              <w:tc>
                <w:tcPr>
                  <w:tcW w:w="1520" w:type="dxa"/>
                  <w:vAlign w:val="center"/>
                </w:tcPr>
                <w:p w14:paraId="1D895351">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LogReg AUC</w:t>
                  </w:r>
                </w:p>
              </w:tc>
            </w:tr>
            <w:tr w14:paraId="1A217093">
              <w:tblPrEx>
                <w:tblCellMar>
                  <w:top w:w="0" w:type="dxa"/>
                  <w:left w:w="108" w:type="dxa"/>
                  <w:bottom w:w="0" w:type="dxa"/>
                  <w:right w:w="108" w:type="dxa"/>
                </w:tblCellMar>
              </w:tblPrEx>
              <w:trPr>
                <w:jc w:val="center"/>
              </w:trPr>
              <w:tc>
                <w:tcPr>
                  <w:tcW w:w="1520" w:type="dxa"/>
                  <w:vAlign w:val="center"/>
                </w:tcPr>
                <w:p w14:paraId="2BA527D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direction_t5</w:t>
                  </w:r>
                </w:p>
              </w:tc>
              <w:tc>
                <w:tcPr>
                  <w:tcW w:w="1520" w:type="dxa"/>
                  <w:vAlign w:val="center"/>
                </w:tcPr>
                <w:p w14:paraId="1AA8A31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w:t>
                  </w:r>
                </w:p>
              </w:tc>
              <w:tc>
                <w:tcPr>
                  <w:tcW w:w="1520" w:type="dxa"/>
                  <w:vAlign w:val="center"/>
                </w:tcPr>
                <w:p w14:paraId="467BEB8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0.500</w:t>
                  </w:r>
                </w:p>
              </w:tc>
              <w:tc>
                <w:tcPr>
                  <w:tcW w:w="1520" w:type="dxa"/>
                  <w:vAlign w:val="center"/>
                </w:tcPr>
                <w:p w14:paraId="6A126D4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0.498</w:t>
                  </w:r>
                </w:p>
              </w:tc>
              <w:tc>
                <w:tcPr>
                  <w:tcW w:w="1520" w:type="dxa"/>
                  <w:vAlign w:val="center"/>
                </w:tcPr>
                <w:p w14:paraId="5CFA479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0.502</w:t>
                  </w:r>
                </w:p>
              </w:tc>
              <w:tc>
                <w:tcPr>
                  <w:tcW w:w="1520" w:type="dxa"/>
                  <w:vAlign w:val="center"/>
                </w:tcPr>
                <w:p w14:paraId="173BDE8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0.395</w:t>
                  </w:r>
                </w:p>
              </w:tc>
            </w:tr>
            <w:tr w14:paraId="726A530B">
              <w:tblPrEx>
                <w:tblCellMar>
                  <w:top w:w="0" w:type="dxa"/>
                  <w:left w:w="108" w:type="dxa"/>
                  <w:bottom w:w="0" w:type="dxa"/>
                  <w:right w:w="108" w:type="dxa"/>
                </w:tblCellMar>
              </w:tblPrEx>
              <w:trPr>
                <w:jc w:val="center"/>
              </w:trPr>
              <w:tc>
                <w:tcPr>
                  <w:tcW w:w="1520" w:type="dxa"/>
                  <w:vAlign w:val="center"/>
                </w:tcPr>
                <w:p w14:paraId="447E8A8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direction_t5</w:t>
                  </w:r>
                </w:p>
              </w:tc>
              <w:tc>
                <w:tcPr>
                  <w:tcW w:w="1520" w:type="dxa"/>
                  <w:vAlign w:val="center"/>
                </w:tcPr>
                <w:p w14:paraId="4271C74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v2_full</w:t>
                  </w:r>
                </w:p>
              </w:tc>
              <w:tc>
                <w:tcPr>
                  <w:tcW w:w="1520" w:type="dxa"/>
                  <w:vAlign w:val="center"/>
                </w:tcPr>
                <w:p w14:paraId="11B3748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0.515</w:t>
                  </w:r>
                </w:p>
              </w:tc>
              <w:tc>
                <w:tcPr>
                  <w:tcW w:w="1520" w:type="dxa"/>
                  <w:vAlign w:val="center"/>
                </w:tcPr>
                <w:p w14:paraId="51E0460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0.514</w:t>
                  </w:r>
                </w:p>
              </w:tc>
              <w:tc>
                <w:tcPr>
                  <w:tcW w:w="1520" w:type="dxa"/>
                  <w:vAlign w:val="center"/>
                </w:tcPr>
                <w:p w14:paraId="5E3B40B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0.491</w:t>
                  </w:r>
                </w:p>
              </w:tc>
              <w:tc>
                <w:tcPr>
                  <w:tcW w:w="1520" w:type="dxa"/>
                  <w:vAlign w:val="center"/>
                </w:tcPr>
                <w:p w14:paraId="2B7839E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0.395</w:t>
                  </w:r>
                </w:p>
              </w:tc>
            </w:tr>
            <w:tr w14:paraId="548FD6BD">
              <w:tblPrEx>
                <w:tblCellMar>
                  <w:top w:w="0" w:type="dxa"/>
                  <w:left w:w="108" w:type="dxa"/>
                  <w:bottom w:w="0" w:type="dxa"/>
                  <w:right w:w="108" w:type="dxa"/>
                </w:tblCellMar>
              </w:tblPrEx>
              <w:trPr>
                <w:jc w:val="center"/>
              </w:trPr>
              <w:tc>
                <w:tcPr>
                  <w:tcW w:w="1520" w:type="dxa"/>
                  <w:vAlign w:val="center"/>
                </w:tcPr>
                <w:p w14:paraId="26C1D81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520" w:type="dxa"/>
                  <w:vAlign w:val="center"/>
                </w:tcPr>
                <w:p w14:paraId="3676C3C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v1_base</w:t>
                  </w:r>
                </w:p>
              </w:tc>
              <w:tc>
                <w:tcPr>
                  <w:tcW w:w="1520" w:type="dxa"/>
                  <w:vAlign w:val="center"/>
                </w:tcPr>
                <w:p w14:paraId="75F45B8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0.509</w:t>
                  </w:r>
                </w:p>
              </w:tc>
              <w:tc>
                <w:tcPr>
                  <w:tcW w:w="1520" w:type="dxa"/>
                  <w:vAlign w:val="center"/>
                </w:tcPr>
                <w:p w14:paraId="11E0B46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0.503</w:t>
                  </w:r>
                </w:p>
              </w:tc>
              <w:tc>
                <w:tcPr>
                  <w:tcW w:w="1520" w:type="dxa"/>
                  <w:vAlign w:val="center"/>
                </w:tcPr>
                <w:p w14:paraId="1D9890D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0.503</w:t>
                  </w:r>
                </w:p>
              </w:tc>
              <w:tc>
                <w:tcPr>
                  <w:tcW w:w="1520" w:type="dxa"/>
                  <w:vAlign w:val="center"/>
                </w:tcPr>
                <w:p w14:paraId="569B54E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0.429</w:t>
                  </w:r>
                </w:p>
              </w:tc>
            </w:tr>
            <w:tr w14:paraId="33180A20">
              <w:tblPrEx>
                <w:tblCellMar>
                  <w:top w:w="0" w:type="dxa"/>
                  <w:left w:w="108" w:type="dxa"/>
                  <w:bottom w:w="0" w:type="dxa"/>
                  <w:right w:w="108" w:type="dxa"/>
                </w:tblCellMar>
              </w:tblPrEx>
              <w:trPr>
                <w:jc w:val="center"/>
              </w:trPr>
              <w:tc>
                <w:tcPr>
                  <w:tcW w:w="1520" w:type="dxa"/>
                  <w:vAlign w:val="center"/>
                </w:tcPr>
                <w:p w14:paraId="51F6496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up_big_3pct_t5</w:t>
                  </w:r>
                </w:p>
              </w:tc>
              <w:tc>
                <w:tcPr>
                  <w:tcW w:w="1520" w:type="dxa"/>
                  <w:vAlign w:val="center"/>
                </w:tcPr>
                <w:p w14:paraId="6B2EBCE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v2_full</w:t>
                  </w:r>
                </w:p>
              </w:tc>
              <w:tc>
                <w:tcPr>
                  <w:tcW w:w="1520" w:type="dxa"/>
                  <w:vAlign w:val="center"/>
                </w:tcPr>
                <w:p w14:paraId="2AFADD8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0.515</w:t>
                  </w:r>
                </w:p>
              </w:tc>
              <w:tc>
                <w:tcPr>
                  <w:tcW w:w="1520" w:type="dxa"/>
                  <w:vAlign w:val="center"/>
                </w:tcPr>
                <w:p w14:paraId="1D5E1DC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0.514</w:t>
                  </w:r>
                </w:p>
              </w:tc>
              <w:tc>
                <w:tcPr>
                  <w:tcW w:w="1520" w:type="dxa"/>
                  <w:vAlign w:val="center"/>
                </w:tcPr>
                <w:p w14:paraId="5D6EE76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0.490</w:t>
                  </w:r>
                </w:p>
              </w:tc>
              <w:tc>
                <w:tcPr>
                  <w:tcW w:w="1520" w:type="dxa"/>
                  <w:vAlign w:val="center"/>
                </w:tcPr>
                <w:p w14:paraId="0481553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0.441</w:t>
                  </w:r>
                </w:p>
              </w:tc>
            </w:tr>
          </w:tbl>
          <w:p w14:paraId="6750077A">
            <w:pPr>
              <w:rPr>
                <w:rFonts w:hint="default" w:ascii="Times New Roman" w:hAnsi="Times New Roman" w:eastAsia="宋体" w:cs="Times New Roman"/>
              </w:rPr>
            </w:pPr>
          </w:p>
          <w:p w14:paraId="5F548AD5">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综合对比结果，可以得到以下结论：</w:t>
            </w:r>
          </w:p>
          <w:p w14:paraId="043DFA52">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XGBoost 与 LightGBM 的 AUC 差异在 0.003~0.005 之间，表现高度一致，说明在当前中小样本规模下，level-wise 和 leaf-wise 两种树生长策略没有产生显著差异。</w:t>
            </w:r>
          </w:p>
          <w:p w14:paraId="4FF37EA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Random Forest 的三股票平均 AUC 最高（0.5194），但仅比 XGBoost 高 0.003，差异不具有统计显著性。</w:t>
            </w:r>
          </w:p>
          <w:p w14:paraId="6AFECC2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Logistic Regression 在 T+5 方向预测上 AUC 低至 0.39~0.40，说明线性模型无法捕捉该任务中的非线性关系。</w:t>
            </w:r>
          </w:p>
          <w:p w14:paraId="170ABB1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所有算法的样本外 AUC 均在 0.50~0.65 区间，大部分徘徊在 0.50~0.53 附近，再次验证模型预测能力的瓶颈不在算法选择，而在特征表达和标签定义。</w:t>
            </w:r>
          </w:p>
          <w:p w14:paraId="00F9078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总体而言，上述结果支持继续将 XGBoost 作为主模型：它与 LightGBM 基本持平，与 Random Forest 的差异也极小，同时保留了较好的可解释性和成熟的实验链路。更重要的是，多模型对比表明当前任务的主要瓶颈并不在于“换一个算法就能显著变好”，而在于样本噪声、标签定义和特征表达仍有待进一步改进。</w:t>
            </w:r>
          </w:p>
          <w:p w14:paraId="74659F06">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4.6 策略回测</w:t>
            </w:r>
          </w:p>
          <w:p w14:paraId="5CB3902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策略回测用于回答一个比“分类是否准确”更贴近应用的问题：模型输出的概率能否在交易规则下转化为有意义的收益与风险表现。回测流程包括以下步骤：</w:t>
            </w:r>
          </w:p>
          <w:p w14:paraId="4ABAF28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构建指定股票的机器学习特征。</w:t>
            </w:r>
          </w:p>
          <w:p w14:paraId="1EB8443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使用扩展窗口方式生成样本外预测结果。</w:t>
            </w:r>
          </w:p>
          <w:p w14:paraId="42A05CE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根据预测上涨概率和阈值生成交易信号。</w:t>
            </w:r>
          </w:p>
          <w:p w14:paraId="133C887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按日模拟策略净值变化。</w:t>
            </w:r>
          </w:p>
          <w:p w14:paraId="14D431B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在持仓变化时扣除手续费。</w:t>
            </w:r>
          </w:p>
          <w:p w14:paraId="7A18190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统计交易记录、收益曲线和关键指标。</w:t>
            </w:r>
          </w:p>
          <w:p w14:paraId="0F904666">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扩展窗口回测的思想是：随着时间推进，训练窗口不断扩展，测试区间始终保持在训练区间之后，从而尽量模拟真实预测场景。需要说明的是，本项目回测仍属于课程实验条件下的简化框架，已经纳入手续费和简化滑点，但尚未进一步覆盖盘口冲击、流动性约束和更细粒度的盘中成交机制。</w:t>
            </w:r>
          </w:p>
          <w:p w14:paraId="070C306F">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4.7 策略运行结果</w:t>
            </w:r>
          </w:p>
          <w:p w14:paraId="44D1027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当前最佳策略结果如下：</w:t>
            </w:r>
          </w:p>
          <w:tbl>
            <w:tblPr>
              <w:tblStyle w:val="5"/>
              <w:tblW w:w="0" w:type="auto"/>
              <w:jc w:val="center"/>
              <w:tblLayout w:type="fixed"/>
              <w:tblCellMar>
                <w:top w:w="0" w:type="dxa"/>
                <w:left w:w="108" w:type="dxa"/>
                <w:bottom w:w="0" w:type="dxa"/>
                <w:right w:w="108" w:type="dxa"/>
              </w:tblCellMar>
            </w:tblPr>
            <w:tblGrid>
              <w:gridCol w:w="4561"/>
              <w:gridCol w:w="4561"/>
            </w:tblGrid>
            <w:tr w14:paraId="7077C815">
              <w:tblPrEx>
                <w:tblCellMar>
                  <w:top w:w="0" w:type="dxa"/>
                  <w:left w:w="108" w:type="dxa"/>
                  <w:bottom w:w="0" w:type="dxa"/>
                  <w:right w:w="108" w:type="dxa"/>
                </w:tblCellMar>
              </w:tblPrEx>
              <w:trPr>
                <w:jc w:val="center"/>
              </w:trPr>
              <w:tc>
                <w:tcPr>
                  <w:tcW w:w="4561" w:type="dxa"/>
                  <w:vAlign w:val="center"/>
                </w:tcPr>
                <w:p w14:paraId="56CF0B9A">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4561" w:type="dxa"/>
                  <w:vAlign w:val="center"/>
                </w:tcPr>
                <w:p w14:paraId="735EEA2C">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数值</w:t>
                  </w:r>
                </w:p>
              </w:tc>
            </w:tr>
            <w:tr w14:paraId="028C90A9">
              <w:tblPrEx>
                <w:tblCellMar>
                  <w:top w:w="0" w:type="dxa"/>
                  <w:left w:w="108" w:type="dxa"/>
                  <w:bottom w:w="0" w:type="dxa"/>
                  <w:right w:w="108" w:type="dxa"/>
                </w:tblCellMar>
              </w:tblPrEx>
              <w:trPr>
                <w:jc w:val="center"/>
              </w:trPr>
              <w:tc>
                <w:tcPr>
                  <w:tcW w:w="4561" w:type="dxa"/>
                  <w:vAlign w:val="center"/>
                </w:tcPr>
                <w:p w14:paraId="2E6D45C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股票</w:t>
                  </w:r>
                </w:p>
              </w:tc>
              <w:tc>
                <w:tcPr>
                  <w:tcW w:w="4561" w:type="dxa"/>
                  <w:vAlign w:val="center"/>
                </w:tcPr>
                <w:p w14:paraId="3A29906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MU</w:t>
                  </w:r>
                </w:p>
              </w:tc>
            </w:tr>
            <w:tr w14:paraId="7B045738">
              <w:tblPrEx>
                <w:tblCellMar>
                  <w:top w:w="0" w:type="dxa"/>
                  <w:left w:w="108" w:type="dxa"/>
                  <w:bottom w:w="0" w:type="dxa"/>
                  <w:right w:w="108" w:type="dxa"/>
                </w:tblCellMar>
              </w:tblPrEx>
              <w:trPr>
                <w:jc w:val="center"/>
              </w:trPr>
              <w:tc>
                <w:tcPr>
                  <w:tcW w:w="4561" w:type="dxa"/>
                  <w:vAlign w:val="center"/>
                </w:tcPr>
                <w:p w14:paraId="2F1C8E8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预测周期</w:t>
                  </w:r>
                </w:p>
              </w:tc>
              <w:tc>
                <w:tcPr>
                  <w:tcW w:w="4561" w:type="dxa"/>
                  <w:vAlign w:val="center"/>
                </w:tcPr>
                <w:p w14:paraId="6973575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T+5</w:t>
                  </w:r>
                </w:p>
              </w:tc>
            </w:tr>
            <w:tr w14:paraId="381B9003">
              <w:tblPrEx>
                <w:tblCellMar>
                  <w:top w:w="0" w:type="dxa"/>
                  <w:left w:w="108" w:type="dxa"/>
                  <w:bottom w:w="0" w:type="dxa"/>
                  <w:right w:w="108" w:type="dxa"/>
                </w:tblCellMar>
              </w:tblPrEx>
              <w:trPr>
                <w:jc w:val="center"/>
              </w:trPr>
              <w:tc>
                <w:tcPr>
                  <w:tcW w:w="4561" w:type="dxa"/>
                  <w:vAlign w:val="center"/>
                </w:tcPr>
                <w:p w14:paraId="392D431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阈值</w:t>
                  </w:r>
                </w:p>
              </w:tc>
              <w:tc>
                <w:tcPr>
                  <w:tcW w:w="4561" w:type="dxa"/>
                  <w:vAlign w:val="center"/>
                </w:tcPr>
                <w:p w14:paraId="3EFE0D1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w:t>
                  </w:r>
                </w:p>
              </w:tc>
            </w:tr>
            <w:tr w14:paraId="0B669867">
              <w:tblPrEx>
                <w:tblCellMar>
                  <w:top w:w="0" w:type="dxa"/>
                  <w:left w:w="108" w:type="dxa"/>
                  <w:bottom w:w="0" w:type="dxa"/>
                  <w:right w:w="108" w:type="dxa"/>
                </w:tblCellMar>
              </w:tblPrEx>
              <w:trPr>
                <w:jc w:val="center"/>
              </w:trPr>
              <w:tc>
                <w:tcPr>
                  <w:tcW w:w="4561" w:type="dxa"/>
                  <w:vAlign w:val="center"/>
                </w:tcPr>
                <w:p w14:paraId="438DCCB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回测开始日期</w:t>
                  </w:r>
                </w:p>
              </w:tc>
              <w:tc>
                <w:tcPr>
                  <w:tcW w:w="4561" w:type="dxa"/>
                  <w:vAlign w:val="center"/>
                </w:tcPr>
                <w:p w14:paraId="4686557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2024-12-16</w:t>
                  </w:r>
                </w:p>
              </w:tc>
            </w:tr>
            <w:tr w14:paraId="6B170827">
              <w:tblPrEx>
                <w:tblCellMar>
                  <w:top w:w="0" w:type="dxa"/>
                  <w:left w:w="108" w:type="dxa"/>
                  <w:bottom w:w="0" w:type="dxa"/>
                  <w:right w:w="108" w:type="dxa"/>
                </w:tblCellMar>
              </w:tblPrEx>
              <w:trPr>
                <w:jc w:val="center"/>
              </w:trPr>
              <w:tc>
                <w:tcPr>
                  <w:tcW w:w="4561" w:type="dxa"/>
                  <w:vAlign w:val="center"/>
                </w:tcPr>
                <w:p w14:paraId="585D2BA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回测结束日期</w:t>
                  </w:r>
                </w:p>
              </w:tc>
              <w:tc>
                <w:tcPr>
                  <w:tcW w:w="4561" w:type="dxa"/>
                  <w:vAlign w:val="center"/>
                </w:tcPr>
                <w:p w14:paraId="6B94589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2026-03-03</w:t>
                  </w:r>
                </w:p>
              </w:tc>
            </w:tr>
            <w:tr w14:paraId="1E965186">
              <w:tblPrEx>
                <w:tblCellMar>
                  <w:top w:w="0" w:type="dxa"/>
                  <w:left w:w="108" w:type="dxa"/>
                  <w:bottom w:w="0" w:type="dxa"/>
                  <w:right w:w="108" w:type="dxa"/>
                </w:tblCellMar>
              </w:tblPrEx>
              <w:trPr>
                <w:jc w:val="center"/>
              </w:trPr>
              <w:tc>
                <w:tcPr>
                  <w:tcW w:w="4561" w:type="dxa"/>
                  <w:vAlign w:val="center"/>
                </w:tcPr>
                <w:p w14:paraId="3448FDA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年化收益率</w:t>
                  </w:r>
                </w:p>
              </w:tc>
              <w:tc>
                <w:tcPr>
                  <w:tcW w:w="4561" w:type="dxa"/>
                  <w:vAlign w:val="center"/>
                </w:tcPr>
                <w:p w14:paraId="08818D5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162.99%</w:t>
                  </w:r>
                </w:p>
              </w:tc>
            </w:tr>
            <w:tr w14:paraId="5278A97E">
              <w:tblPrEx>
                <w:tblCellMar>
                  <w:top w:w="0" w:type="dxa"/>
                  <w:left w:w="108" w:type="dxa"/>
                  <w:bottom w:w="0" w:type="dxa"/>
                  <w:right w:w="108" w:type="dxa"/>
                </w:tblCellMar>
              </w:tblPrEx>
              <w:trPr>
                <w:jc w:val="center"/>
              </w:trPr>
              <w:tc>
                <w:tcPr>
                  <w:tcW w:w="4561" w:type="dxa"/>
                  <w:vAlign w:val="center"/>
                </w:tcPr>
                <w:p w14:paraId="0FA943E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最大回撤</w:t>
                  </w:r>
                </w:p>
              </w:tc>
              <w:tc>
                <w:tcPr>
                  <w:tcW w:w="4561" w:type="dxa"/>
                  <w:vAlign w:val="center"/>
                </w:tcPr>
                <w:p w14:paraId="0E3A942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19.00%</w:t>
                  </w:r>
                </w:p>
              </w:tc>
            </w:tr>
            <w:tr w14:paraId="79F04FB1">
              <w:tblPrEx>
                <w:tblCellMar>
                  <w:top w:w="0" w:type="dxa"/>
                  <w:left w:w="108" w:type="dxa"/>
                  <w:bottom w:w="0" w:type="dxa"/>
                  <w:right w:w="108" w:type="dxa"/>
                </w:tblCellMar>
              </w:tblPrEx>
              <w:trPr>
                <w:jc w:val="center"/>
              </w:trPr>
              <w:tc>
                <w:tcPr>
                  <w:tcW w:w="4561" w:type="dxa"/>
                  <w:vAlign w:val="center"/>
                </w:tcPr>
                <w:p w14:paraId="3B7263A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累计收益率</w:t>
                  </w:r>
                </w:p>
              </w:tc>
              <w:tc>
                <w:tcPr>
                  <w:tcW w:w="4561" w:type="dxa"/>
                  <w:vAlign w:val="center"/>
                </w:tcPr>
                <w:p w14:paraId="157B513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217.39%</w:t>
                  </w:r>
                </w:p>
              </w:tc>
            </w:tr>
            <w:tr w14:paraId="58CA2C3A">
              <w:tblPrEx>
                <w:tblCellMar>
                  <w:top w:w="0" w:type="dxa"/>
                  <w:left w:w="108" w:type="dxa"/>
                  <w:bottom w:w="0" w:type="dxa"/>
                  <w:right w:w="108" w:type="dxa"/>
                </w:tblCellMar>
              </w:tblPrEx>
              <w:trPr>
                <w:jc w:val="center"/>
              </w:trPr>
              <w:tc>
                <w:tcPr>
                  <w:tcW w:w="4561" w:type="dxa"/>
                  <w:vAlign w:val="center"/>
                </w:tcPr>
                <w:p w14:paraId="0F99558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买入持有收益率</w:t>
                  </w:r>
                </w:p>
              </w:tc>
              <w:tc>
                <w:tcPr>
                  <w:tcW w:w="4561" w:type="dxa"/>
                  <w:vAlign w:val="center"/>
                </w:tcPr>
                <w:p w14:paraId="2291827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250.71%</w:t>
                  </w:r>
                </w:p>
              </w:tc>
            </w:tr>
            <w:tr w14:paraId="51F59E75">
              <w:tblPrEx>
                <w:tblCellMar>
                  <w:top w:w="0" w:type="dxa"/>
                  <w:left w:w="108" w:type="dxa"/>
                  <w:bottom w:w="0" w:type="dxa"/>
                  <w:right w:w="108" w:type="dxa"/>
                </w:tblCellMar>
              </w:tblPrEx>
              <w:trPr>
                <w:jc w:val="center"/>
              </w:trPr>
              <w:tc>
                <w:tcPr>
                  <w:tcW w:w="4561" w:type="dxa"/>
                  <w:vAlign w:val="center"/>
                </w:tcPr>
                <w:p w14:paraId="07C593C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胜率</w:t>
                  </w:r>
                </w:p>
              </w:tc>
              <w:tc>
                <w:tcPr>
                  <w:tcW w:w="4561" w:type="dxa"/>
                  <w:vAlign w:val="center"/>
                </w:tcPr>
                <w:p w14:paraId="5DF378E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66.67%</w:t>
                  </w:r>
                </w:p>
              </w:tc>
            </w:tr>
            <w:tr w14:paraId="4EB73518">
              <w:tblPrEx>
                <w:tblCellMar>
                  <w:top w:w="0" w:type="dxa"/>
                  <w:left w:w="108" w:type="dxa"/>
                  <w:bottom w:w="0" w:type="dxa"/>
                  <w:right w:w="108" w:type="dxa"/>
                </w:tblCellMar>
              </w:tblPrEx>
              <w:trPr>
                <w:jc w:val="center"/>
              </w:trPr>
              <w:tc>
                <w:tcPr>
                  <w:tcW w:w="4561" w:type="dxa"/>
                  <w:vAlign w:val="center"/>
                </w:tcPr>
                <w:p w14:paraId="503CAAC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交易次数</w:t>
                  </w:r>
                </w:p>
              </w:tc>
              <w:tc>
                <w:tcPr>
                  <w:tcW w:w="4561" w:type="dxa"/>
                  <w:vAlign w:val="center"/>
                </w:tcPr>
                <w:p w14:paraId="5BFE36F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39</w:t>
                  </w:r>
                </w:p>
              </w:tc>
            </w:tr>
            <w:tr w14:paraId="789F5CE2">
              <w:tblPrEx>
                <w:tblCellMar>
                  <w:top w:w="0" w:type="dxa"/>
                  <w:left w:w="108" w:type="dxa"/>
                  <w:bottom w:w="0" w:type="dxa"/>
                  <w:right w:w="108" w:type="dxa"/>
                </w:tblCellMar>
              </w:tblPrEx>
              <w:trPr>
                <w:jc w:val="center"/>
              </w:trPr>
              <w:tc>
                <w:tcPr>
                  <w:tcW w:w="4561" w:type="dxa"/>
                  <w:vAlign w:val="center"/>
                </w:tcPr>
                <w:p w14:paraId="063E32E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平均单笔收益率</w:t>
                  </w:r>
                </w:p>
              </w:tc>
              <w:tc>
                <w:tcPr>
                  <w:tcW w:w="4561" w:type="dxa"/>
                  <w:vAlign w:val="center"/>
                </w:tcPr>
                <w:p w14:paraId="54EF857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3.35%</w:t>
                  </w:r>
                </w:p>
              </w:tc>
            </w:tr>
            <w:tr w14:paraId="2B10B5C0">
              <w:tblPrEx>
                <w:tblCellMar>
                  <w:top w:w="0" w:type="dxa"/>
                  <w:left w:w="108" w:type="dxa"/>
                  <w:bottom w:w="0" w:type="dxa"/>
                  <w:right w:w="108" w:type="dxa"/>
                </w:tblCellMar>
              </w:tblPrEx>
              <w:trPr>
                <w:jc w:val="center"/>
              </w:trPr>
              <w:tc>
                <w:tcPr>
                  <w:tcW w:w="4561" w:type="dxa"/>
                  <w:vAlign w:val="center"/>
                </w:tcPr>
                <w:p w14:paraId="1714464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最佳单笔收益率</w:t>
                  </w:r>
                </w:p>
              </w:tc>
              <w:tc>
                <w:tcPr>
                  <w:tcW w:w="4561" w:type="dxa"/>
                  <w:vAlign w:val="center"/>
                </w:tcPr>
                <w:p w14:paraId="437306D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23.15%</w:t>
                  </w:r>
                </w:p>
              </w:tc>
            </w:tr>
            <w:tr w14:paraId="65DB42A7">
              <w:tblPrEx>
                <w:tblCellMar>
                  <w:top w:w="0" w:type="dxa"/>
                  <w:left w:w="108" w:type="dxa"/>
                  <w:bottom w:w="0" w:type="dxa"/>
                  <w:right w:w="108" w:type="dxa"/>
                </w:tblCellMar>
              </w:tblPrEx>
              <w:trPr>
                <w:jc w:val="center"/>
              </w:trPr>
              <w:tc>
                <w:tcPr>
                  <w:tcW w:w="4561" w:type="dxa"/>
                  <w:vAlign w:val="center"/>
                </w:tcPr>
                <w:p w14:paraId="393C880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最差单笔收益率</w:t>
                  </w:r>
                </w:p>
              </w:tc>
              <w:tc>
                <w:tcPr>
                  <w:tcW w:w="4561" w:type="dxa"/>
                  <w:vAlign w:val="center"/>
                </w:tcPr>
                <w:p w14:paraId="6E273E2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-10.22%</w:t>
                  </w:r>
                </w:p>
              </w:tc>
            </w:tr>
            <w:tr w14:paraId="02C6067F">
              <w:tblPrEx>
                <w:tblCellMar>
                  <w:top w:w="0" w:type="dxa"/>
                  <w:left w:w="108" w:type="dxa"/>
                  <w:bottom w:w="0" w:type="dxa"/>
                  <w:right w:w="108" w:type="dxa"/>
                </w:tblCellMar>
              </w:tblPrEx>
              <w:trPr>
                <w:jc w:val="center"/>
              </w:trPr>
              <w:tc>
                <w:tcPr>
                  <w:tcW w:w="4561" w:type="dxa"/>
                  <w:vAlign w:val="center"/>
                </w:tcPr>
                <w:p w14:paraId="25B9591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是否满足课程指标</w:t>
                  </w:r>
                </w:p>
              </w:tc>
              <w:tc>
                <w:tcPr>
                  <w:tcW w:w="4561" w:type="dxa"/>
                  <w:vAlign w:val="center"/>
                </w:tcPr>
                <w:p w14:paraId="2A3D8FA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是</w:t>
                  </w:r>
                </w:p>
              </w:tc>
            </w:tr>
          </w:tbl>
          <w:p w14:paraId="7116BC04">
            <w:pPr>
              <w:rPr>
                <w:rFonts w:hint="default" w:ascii="Times New Roman" w:hAnsi="Times New Roman" w:eastAsia="宋体" w:cs="Times New Roman"/>
              </w:rPr>
            </w:pPr>
          </w:p>
          <w:p w14:paraId="6BBB64D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根据课程要求，策略应尽量达到：</w:t>
            </w:r>
          </w:p>
          <w:tbl>
            <w:tblPr>
              <w:tblStyle w:val="5"/>
              <w:tblW w:w="0" w:type="auto"/>
              <w:jc w:val="center"/>
              <w:tblLayout w:type="fixed"/>
              <w:tblCellMar>
                <w:top w:w="0" w:type="dxa"/>
                <w:left w:w="108" w:type="dxa"/>
                <w:bottom w:w="0" w:type="dxa"/>
                <w:right w:w="108" w:type="dxa"/>
              </w:tblCellMar>
            </w:tblPr>
            <w:tblGrid>
              <w:gridCol w:w="2280"/>
              <w:gridCol w:w="2280"/>
              <w:gridCol w:w="2280"/>
              <w:gridCol w:w="2280"/>
            </w:tblGrid>
            <w:tr w14:paraId="005A0D05">
              <w:tblPrEx>
                <w:tblCellMar>
                  <w:top w:w="0" w:type="dxa"/>
                  <w:left w:w="108" w:type="dxa"/>
                  <w:bottom w:w="0" w:type="dxa"/>
                  <w:right w:w="108" w:type="dxa"/>
                </w:tblCellMar>
              </w:tblPrEx>
              <w:trPr>
                <w:jc w:val="center"/>
              </w:trPr>
              <w:tc>
                <w:tcPr>
                  <w:tcW w:w="2280" w:type="dxa"/>
                  <w:vAlign w:val="center"/>
                </w:tcPr>
                <w:p w14:paraId="4C57CFD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指标</w:t>
                  </w:r>
                </w:p>
              </w:tc>
              <w:tc>
                <w:tcPr>
                  <w:tcW w:w="2280" w:type="dxa"/>
                  <w:vAlign w:val="center"/>
                </w:tcPr>
                <w:p w14:paraId="1C8DCD72">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要求</w:t>
                  </w:r>
                </w:p>
              </w:tc>
              <w:tc>
                <w:tcPr>
                  <w:tcW w:w="2280" w:type="dxa"/>
                  <w:vAlign w:val="center"/>
                </w:tcPr>
                <w:p w14:paraId="51F9AFDE">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当前结果</w:t>
                  </w:r>
                </w:p>
              </w:tc>
              <w:tc>
                <w:tcPr>
                  <w:tcW w:w="2280" w:type="dxa"/>
                  <w:vAlign w:val="center"/>
                </w:tcPr>
                <w:p w14:paraId="000AF8DC">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是否满足</w:t>
                  </w:r>
                </w:p>
              </w:tc>
            </w:tr>
            <w:tr w14:paraId="381D42D2">
              <w:tblPrEx>
                <w:tblCellMar>
                  <w:top w:w="0" w:type="dxa"/>
                  <w:left w:w="108" w:type="dxa"/>
                  <w:bottom w:w="0" w:type="dxa"/>
                  <w:right w:w="108" w:type="dxa"/>
                </w:tblCellMar>
              </w:tblPrEx>
              <w:trPr>
                <w:jc w:val="center"/>
              </w:trPr>
              <w:tc>
                <w:tcPr>
                  <w:tcW w:w="2280" w:type="dxa"/>
                  <w:vAlign w:val="center"/>
                </w:tcPr>
                <w:p w14:paraId="546A1DB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年化收益率</w:t>
                  </w:r>
                </w:p>
              </w:tc>
              <w:tc>
                <w:tcPr>
                  <w:tcW w:w="2280" w:type="dxa"/>
                  <w:vAlign w:val="center"/>
                </w:tcPr>
                <w:p w14:paraId="3C976B9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超过 20%</w:t>
                  </w:r>
                </w:p>
              </w:tc>
              <w:tc>
                <w:tcPr>
                  <w:tcW w:w="2280" w:type="dxa"/>
                  <w:vAlign w:val="center"/>
                </w:tcPr>
                <w:p w14:paraId="402911F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162.99%</w:t>
                  </w:r>
                </w:p>
              </w:tc>
              <w:tc>
                <w:tcPr>
                  <w:tcW w:w="2280" w:type="dxa"/>
                  <w:vAlign w:val="center"/>
                </w:tcPr>
                <w:p w14:paraId="7E92719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满足</w:t>
                  </w:r>
                </w:p>
              </w:tc>
            </w:tr>
            <w:tr w14:paraId="7B6FFBE9">
              <w:tblPrEx>
                <w:tblCellMar>
                  <w:top w:w="0" w:type="dxa"/>
                  <w:left w:w="108" w:type="dxa"/>
                  <w:bottom w:w="0" w:type="dxa"/>
                  <w:right w:w="108" w:type="dxa"/>
                </w:tblCellMar>
              </w:tblPrEx>
              <w:trPr>
                <w:jc w:val="center"/>
              </w:trPr>
              <w:tc>
                <w:tcPr>
                  <w:tcW w:w="2280" w:type="dxa"/>
                  <w:vAlign w:val="center"/>
                </w:tcPr>
                <w:p w14:paraId="46A87B8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最大回撤</w:t>
                  </w:r>
                </w:p>
              </w:tc>
              <w:tc>
                <w:tcPr>
                  <w:tcW w:w="2280" w:type="dxa"/>
                  <w:vAlign w:val="center"/>
                </w:tcPr>
                <w:p w14:paraId="295FFAC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不超过 20%</w:t>
                  </w:r>
                </w:p>
              </w:tc>
              <w:tc>
                <w:tcPr>
                  <w:tcW w:w="2280" w:type="dxa"/>
                  <w:vAlign w:val="center"/>
                </w:tcPr>
                <w:p w14:paraId="6D9D00A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19.00%</w:t>
                  </w:r>
                </w:p>
              </w:tc>
              <w:tc>
                <w:tcPr>
                  <w:tcW w:w="2280" w:type="dxa"/>
                  <w:vAlign w:val="center"/>
                </w:tcPr>
                <w:p w14:paraId="17CDFB5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满足</w:t>
                  </w:r>
                </w:p>
              </w:tc>
            </w:tr>
          </w:tbl>
          <w:p w14:paraId="744E6ABD">
            <w:pPr>
              <w:rPr>
                <w:rFonts w:hint="default" w:ascii="Times New Roman" w:hAnsi="Times New Roman" w:eastAsia="宋体" w:cs="Times New Roman"/>
              </w:rPr>
            </w:pPr>
          </w:p>
          <w:p w14:paraId="6F0ED57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因此，从当前回测结果看，项目达到了课程设计中关于收益率和最大回撤的核心要求。</w:t>
            </w:r>
          </w:p>
          <w:p w14:paraId="53A085D4">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4.7.1 分类指标偏弱但策略回测达标的原因分析</w:t>
            </w:r>
          </w:p>
          <w:p w14:paraId="1D147899">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从模型预测角度看，MU/T+5 任务在扩展窗口验证中的 AUC 和准确率并不突出；但从策略角度看，同一任务在特定阈值下仍取得了达标的样本外回测结果。二者并不完全矛盾，原因主要体现在以下几个方面：</w:t>
            </w:r>
          </w:p>
          <w:p w14:paraId="606338A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分类任务与交易任务的目标不同。准确率和 AUC 关注的是全样本范围内的整体分类或排序质量，而交易策略只会在满足阈值条件的那部分样本上实际持仓。因此，即使模型在全体样本上不是强分类器，也可能在少数高置信度区间提供一定的择时价值。</w:t>
            </w:r>
          </w:p>
          <w:p w14:paraId="219FF7A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策略收益可能由少数关键区间贡献。回测结果显示，策略收益并非均匀来自每一个交易日，而是更多来自若干次较好的持仓区间。这意味着回测表现可能对少数成功交易更敏感，而不必要求模型在所有日期都具备稳定预测优势。</w:t>
            </w:r>
          </w:p>
          <w:p w14:paraId="3A3BE2B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标的本身处于较强趋势阶段。MU 在回测区间内买入持有累计收益率达到 250.71%，说明样本区间本身存在较强上升趋势。策略在此基础上主要体现为“通过空仓降低部分回撤”，而不是持续在收益上压倒买入持有。</w:t>
            </w:r>
          </w:p>
          <w:p w14:paraId="76820FE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代表性结果仍可能受样本选择影响。当前主结果来自多股票、多阈值、多预测周期扫描后的代表性组合，因此不能简单外推为模型在所有股票和所有市场阶段都具有同等强度的预测能力。</w:t>
            </w:r>
          </w:p>
          <w:p w14:paraId="6EDBCBC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基于以上原因，本报告对主策略结果采取审慎表述：即该策略已经在当前课程实验框架下达到了收益率和回撤要求，但其交易价值更接近“弱预测能力下的择时尝试”，而不是已经被严格证明具备稳定泛化能力的高置信度量化模型。</w:t>
            </w:r>
          </w:p>
          <w:p w14:paraId="5DB20486">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4.8 参数扫描结果摘要</w:t>
            </w:r>
          </w:p>
          <w:p w14:paraId="3278EB0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为了避免只展示单个"最佳样本"，项目对多只股票、两个预测周期和多个概率阈值进行了批量扫描。批量扫描结果数据已保存至 backend/ml/models/strategy_best.json（最优策略元信息）和 backend/ml/models/ 目录下各股票的 *_thr50_strategy_backtest.json 等文件。部分高年化收益组合只发生了很少的交易，稳定性不足；因此在选择代表性最佳策略时，除考察年化收益和最大回撤外，还额外参考了交易次数这一稳健性指标。扫描结果中具有代表性的达标组合如下：</w:t>
            </w:r>
          </w:p>
          <w:tbl>
            <w:tblPr>
              <w:tblStyle w:val="5"/>
              <w:tblW w:w="0" w:type="auto"/>
              <w:jc w:val="center"/>
              <w:tblLayout w:type="fixed"/>
              <w:tblCellMar>
                <w:top w:w="0" w:type="dxa"/>
                <w:left w:w="108" w:type="dxa"/>
                <w:bottom w:w="0" w:type="dxa"/>
                <w:right w:w="108" w:type="dxa"/>
              </w:tblCellMar>
            </w:tblPr>
            <w:tblGrid>
              <w:gridCol w:w="1014"/>
              <w:gridCol w:w="1014"/>
              <w:gridCol w:w="1014"/>
              <w:gridCol w:w="1014"/>
              <w:gridCol w:w="1014"/>
              <w:gridCol w:w="1014"/>
              <w:gridCol w:w="1014"/>
              <w:gridCol w:w="1014"/>
              <w:gridCol w:w="1014"/>
            </w:tblGrid>
            <w:tr w14:paraId="6828D153">
              <w:tblPrEx>
                <w:tblCellMar>
                  <w:top w:w="0" w:type="dxa"/>
                  <w:left w:w="108" w:type="dxa"/>
                  <w:bottom w:w="0" w:type="dxa"/>
                  <w:right w:w="108" w:type="dxa"/>
                </w:tblCellMar>
              </w:tblPrEx>
              <w:trPr>
                <w:jc w:val="center"/>
              </w:trPr>
              <w:tc>
                <w:tcPr>
                  <w:tcW w:w="1014" w:type="dxa"/>
                  <w:vAlign w:val="center"/>
                </w:tcPr>
                <w:p w14:paraId="74E3B8BA">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股票</w:t>
                  </w:r>
                </w:p>
              </w:tc>
              <w:tc>
                <w:tcPr>
                  <w:tcW w:w="1014" w:type="dxa"/>
                  <w:vAlign w:val="center"/>
                </w:tcPr>
                <w:p w14:paraId="308084E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预测周期</w:t>
                  </w:r>
                </w:p>
              </w:tc>
              <w:tc>
                <w:tcPr>
                  <w:tcW w:w="1014" w:type="dxa"/>
                  <w:vAlign w:val="center"/>
                </w:tcPr>
                <w:p w14:paraId="4F35D43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阈值</w:t>
                  </w:r>
                </w:p>
              </w:tc>
              <w:tc>
                <w:tcPr>
                  <w:tcW w:w="1014" w:type="dxa"/>
                  <w:vAlign w:val="center"/>
                </w:tcPr>
                <w:p w14:paraId="0CA16907">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年化收益率</w:t>
                  </w:r>
                </w:p>
              </w:tc>
              <w:tc>
                <w:tcPr>
                  <w:tcW w:w="1014" w:type="dxa"/>
                  <w:vAlign w:val="center"/>
                </w:tcPr>
                <w:p w14:paraId="5D4E3A1B">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最大回撤</w:t>
                  </w:r>
                </w:p>
              </w:tc>
              <w:tc>
                <w:tcPr>
                  <w:tcW w:w="1014" w:type="dxa"/>
                  <w:vAlign w:val="center"/>
                </w:tcPr>
                <w:p w14:paraId="6EF9D44F">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累计收益率</w:t>
                  </w:r>
                </w:p>
              </w:tc>
              <w:tc>
                <w:tcPr>
                  <w:tcW w:w="1014" w:type="dxa"/>
                  <w:vAlign w:val="center"/>
                </w:tcPr>
                <w:p w14:paraId="18B495E8">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买入持有收益率</w:t>
                  </w:r>
                </w:p>
              </w:tc>
              <w:tc>
                <w:tcPr>
                  <w:tcW w:w="1014" w:type="dxa"/>
                  <w:vAlign w:val="center"/>
                </w:tcPr>
                <w:p w14:paraId="02F2B383">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交易次数</w:t>
                  </w:r>
                </w:p>
              </w:tc>
              <w:tc>
                <w:tcPr>
                  <w:tcW w:w="1014" w:type="dxa"/>
                  <w:vAlign w:val="center"/>
                </w:tcPr>
                <w:p w14:paraId="1F7AA196">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说明</w:t>
                  </w:r>
                </w:p>
              </w:tc>
            </w:tr>
            <w:tr w14:paraId="56636D58">
              <w:tblPrEx>
                <w:tblCellMar>
                  <w:top w:w="0" w:type="dxa"/>
                  <w:left w:w="108" w:type="dxa"/>
                  <w:bottom w:w="0" w:type="dxa"/>
                  <w:right w:w="108" w:type="dxa"/>
                </w:tblCellMar>
              </w:tblPrEx>
              <w:trPr>
                <w:jc w:val="center"/>
              </w:trPr>
              <w:tc>
                <w:tcPr>
                  <w:tcW w:w="1014" w:type="dxa"/>
                  <w:vAlign w:val="center"/>
                </w:tcPr>
                <w:p w14:paraId="4E2B8E2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SQ</w:t>
                  </w:r>
                </w:p>
              </w:tc>
              <w:tc>
                <w:tcPr>
                  <w:tcW w:w="1014" w:type="dxa"/>
                  <w:vAlign w:val="center"/>
                </w:tcPr>
                <w:p w14:paraId="08C4D85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T+5</w:t>
                  </w:r>
                </w:p>
              </w:tc>
              <w:tc>
                <w:tcPr>
                  <w:tcW w:w="1014" w:type="dxa"/>
                  <w:vAlign w:val="center"/>
                </w:tcPr>
                <w:p w14:paraId="26D9602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w:t>
                  </w:r>
                </w:p>
              </w:tc>
              <w:tc>
                <w:tcPr>
                  <w:tcW w:w="1014" w:type="dxa"/>
                  <w:vAlign w:val="center"/>
                </w:tcPr>
                <w:p w14:paraId="7F1ADB0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178.90%</w:t>
                  </w:r>
                </w:p>
              </w:tc>
              <w:tc>
                <w:tcPr>
                  <w:tcW w:w="1014" w:type="dxa"/>
                  <w:vAlign w:val="center"/>
                </w:tcPr>
                <w:p w14:paraId="62081D4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7.09%</w:t>
                  </w:r>
                </w:p>
              </w:tc>
              <w:tc>
                <w:tcPr>
                  <w:tcW w:w="1014" w:type="dxa"/>
                  <w:vAlign w:val="center"/>
                </w:tcPr>
                <w:p w14:paraId="2402A7D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8.92%</w:t>
                  </w:r>
                </w:p>
              </w:tc>
              <w:tc>
                <w:tcPr>
                  <w:tcW w:w="1014" w:type="dxa"/>
                  <w:vAlign w:val="center"/>
                </w:tcPr>
                <w:p w14:paraId="279186B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-7.27%</w:t>
                  </w:r>
                </w:p>
              </w:tc>
              <w:tc>
                <w:tcPr>
                  <w:tcW w:w="1014" w:type="dxa"/>
                  <w:vAlign w:val="center"/>
                </w:tcPr>
                <w:p w14:paraId="42DBF8E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4</w:t>
                  </w:r>
                </w:p>
              </w:tc>
              <w:tc>
                <w:tcPr>
                  <w:tcW w:w="1014" w:type="dxa"/>
                  <w:vAlign w:val="center"/>
                </w:tcPr>
                <w:p w14:paraId="227DC4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年化收益高，但交易次数过少，不作为主展示结果</w:t>
                  </w:r>
                </w:p>
              </w:tc>
            </w:tr>
            <w:tr w14:paraId="1616528B">
              <w:tblPrEx>
                <w:tblCellMar>
                  <w:top w:w="0" w:type="dxa"/>
                  <w:left w:w="108" w:type="dxa"/>
                  <w:bottom w:w="0" w:type="dxa"/>
                  <w:right w:w="108" w:type="dxa"/>
                </w:tblCellMar>
              </w:tblPrEx>
              <w:trPr>
                <w:jc w:val="center"/>
              </w:trPr>
              <w:tc>
                <w:tcPr>
                  <w:tcW w:w="1014" w:type="dxa"/>
                  <w:vAlign w:val="center"/>
                </w:tcPr>
                <w:p w14:paraId="12EAF45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MU</w:t>
                  </w:r>
                </w:p>
              </w:tc>
              <w:tc>
                <w:tcPr>
                  <w:tcW w:w="1014" w:type="dxa"/>
                  <w:vAlign w:val="center"/>
                </w:tcPr>
                <w:p w14:paraId="680CA79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T+5</w:t>
                  </w:r>
                </w:p>
              </w:tc>
              <w:tc>
                <w:tcPr>
                  <w:tcW w:w="1014" w:type="dxa"/>
                  <w:vAlign w:val="center"/>
                </w:tcPr>
                <w:p w14:paraId="20693FE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w:t>
                  </w:r>
                </w:p>
              </w:tc>
              <w:tc>
                <w:tcPr>
                  <w:tcW w:w="1014" w:type="dxa"/>
                  <w:vAlign w:val="center"/>
                </w:tcPr>
                <w:p w14:paraId="6B07564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162.99%</w:t>
                  </w:r>
                </w:p>
              </w:tc>
              <w:tc>
                <w:tcPr>
                  <w:tcW w:w="1014" w:type="dxa"/>
                  <w:vAlign w:val="center"/>
                </w:tcPr>
                <w:p w14:paraId="50D623B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19.00%</w:t>
                  </w:r>
                </w:p>
              </w:tc>
              <w:tc>
                <w:tcPr>
                  <w:tcW w:w="1014" w:type="dxa"/>
                  <w:vAlign w:val="center"/>
                </w:tcPr>
                <w:p w14:paraId="565730C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217.39%</w:t>
                  </w:r>
                </w:p>
              </w:tc>
              <w:tc>
                <w:tcPr>
                  <w:tcW w:w="1014" w:type="dxa"/>
                  <w:vAlign w:val="center"/>
                </w:tcPr>
                <w:p w14:paraId="3BED651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250.71%</w:t>
                  </w:r>
                </w:p>
              </w:tc>
              <w:tc>
                <w:tcPr>
                  <w:tcW w:w="1014" w:type="dxa"/>
                  <w:vAlign w:val="center"/>
                </w:tcPr>
                <w:p w14:paraId="3C5E38C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39</w:t>
                  </w:r>
                </w:p>
              </w:tc>
              <w:tc>
                <w:tcPr>
                  <w:tcW w:w="1014" w:type="dxa"/>
                  <w:vAlign w:val="center"/>
                </w:tcPr>
                <w:p w14:paraId="086845C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收益高且交易次数充足，作为报告主结果</w:t>
                  </w:r>
                </w:p>
              </w:tc>
            </w:tr>
            <w:tr w14:paraId="60AFBDEA">
              <w:tblPrEx>
                <w:tblCellMar>
                  <w:top w:w="0" w:type="dxa"/>
                  <w:left w:w="108" w:type="dxa"/>
                  <w:bottom w:w="0" w:type="dxa"/>
                  <w:right w:w="108" w:type="dxa"/>
                </w:tblCellMar>
              </w:tblPrEx>
              <w:trPr>
                <w:jc w:val="center"/>
              </w:trPr>
              <w:tc>
                <w:tcPr>
                  <w:tcW w:w="1014" w:type="dxa"/>
                  <w:vAlign w:val="center"/>
                </w:tcPr>
                <w:p w14:paraId="23CC861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WBD</w:t>
                  </w:r>
                </w:p>
              </w:tc>
              <w:tc>
                <w:tcPr>
                  <w:tcW w:w="1014" w:type="dxa"/>
                  <w:vAlign w:val="center"/>
                </w:tcPr>
                <w:p w14:paraId="0F463F7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T+1</w:t>
                  </w:r>
                </w:p>
              </w:tc>
              <w:tc>
                <w:tcPr>
                  <w:tcW w:w="1014" w:type="dxa"/>
                  <w:vAlign w:val="center"/>
                </w:tcPr>
                <w:p w14:paraId="5C00616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w:t>
                  </w:r>
                </w:p>
              </w:tc>
              <w:tc>
                <w:tcPr>
                  <w:tcW w:w="1014" w:type="dxa"/>
                  <w:vAlign w:val="center"/>
                </w:tcPr>
                <w:p w14:paraId="64BF4AA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128.77%</w:t>
                  </w:r>
                </w:p>
              </w:tc>
              <w:tc>
                <w:tcPr>
                  <w:tcW w:w="1014" w:type="dxa"/>
                  <w:vAlign w:val="center"/>
                </w:tcPr>
                <w:p w14:paraId="20C194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11.53%</w:t>
                  </w:r>
                </w:p>
              </w:tc>
              <w:tc>
                <w:tcPr>
                  <w:tcW w:w="1014" w:type="dxa"/>
                  <w:vAlign w:val="center"/>
                </w:tcPr>
                <w:p w14:paraId="69971699">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168.71%</w:t>
                  </w:r>
                </w:p>
              </w:tc>
              <w:tc>
                <w:tcPr>
                  <w:tcW w:w="1014" w:type="dxa"/>
                  <w:vAlign w:val="center"/>
                </w:tcPr>
                <w:p w14:paraId="7721821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143.10%</w:t>
                  </w:r>
                </w:p>
              </w:tc>
              <w:tc>
                <w:tcPr>
                  <w:tcW w:w="1014" w:type="dxa"/>
                  <w:vAlign w:val="center"/>
                </w:tcPr>
                <w:p w14:paraId="22B3883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58</w:t>
                  </w:r>
                </w:p>
              </w:tc>
              <w:tc>
                <w:tcPr>
                  <w:tcW w:w="1014" w:type="dxa"/>
                  <w:vAlign w:val="center"/>
                </w:tcPr>
                <w:p w14:paraId="01D0C2D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交易更活跃，说明策略不只在单一参数下有效</w:t>
                  </w:r>
                </w:p>
              </w:tc>
            </w:tr>
            <w:tr w14:paraId="6334ACBD">
              <w:tblPrEx>
                <w:tblCellMar>
                  <w:top w:w="0" w:type="dxa"/>
                  <w:left w:w="108" w:type="dxa"/>
                  <w:bottom w:w="0" w:type="dxa"/>
                  <w:right w:w="108" w:type="dxa"/>
                </w:tblCellMar>
              </w:tblPrEx>
              <w:trPr>
                <w:jc w:val="center"/>
              </w:trPr>
              <w:tc>
                <w:tcPr>
                  <w:tcW w:w="1014" w:type="dxa"/>
                  <w:vAlign w:val="center"/>
                </w:tcPr>
                <w:p w14:paraId="6970D4C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LRCX</w:t>
                  </w:r>
                </w:p>
              </w:tc>
              <w:tc>
                <w:tcPr>
                  <w:tcW w:w="1014" w:type="dxa"/>
                  <w:vAlign w:val="center"/>
                </w:tcPr>
                <w:p w14:paraId="7755400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T+1</w:t>
                  </w:r>
                </w:p>
              </w:tc>
              <w:tc>
                <w:tcPr>
                  <w:tcW w:w="1014" w:type="dxa"/>
                  <w:vAlign w:val="center"/>
                </w:tcPr>
                <w:p w14:paraId="59CD867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0.50</w:t>
                  </w:r>
                </w:p>
              </w:tc>
              <w:tc>
                <w:tcPr>
                  <w:tcW w:w="1014" w:type="dxa"/>
                  <w:vAlign w:val="center"/>
                </w:tcPr>
                <w:p w14:paraId="44CF5D5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64.00%</w:t>
                  </w:r>
                </w:p>
              </w:tc>
              <w:tc>
                <w:tcPr>
                  <w:tcW w:w="1014" w:type="dxa"/>
                  <w:vAlign w:val="center"/>
                </w:tcPr>
                <w:p w14:paraId="3169E97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12.32%</w:t>
                  </w:r>
                </w:p>
              </w:tc>
              <w:tc>
                <w:tcPr>
                  <w:tcW w:w="1014" w:type="dxa"/>
                  <w:vAlign w:val="center"/>
                </w:tcPr>
                <w:p w14:paraId="67EBF70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80.55%</w:t>
                  </w:r>
                </w:p>
              </w:tc>
              <w:tc>
                <w:tcPr>
                  <w:tcW w:w="1014" w:type="dxa"/>
                  <w:vAlign w:val="center"/>
                </w:tcPr>
                <w:p w14:paraId="7DDBF20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179.16%</w:t>
                  </w:r>
                </w:p>
              </w:tc>
              <w:tc>
                <w:tcPr>
                  <w:tcW w:w="1014" w:type="dxa"/>
                  <w:vAlign w:val="center"/>
                </w:tcPr>
                <w:p w14:paraId="1C695C4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59</w:t>
                  </w:r>
                </w:p>
              </w:tc>
              <w:tc>
                <w:tcPr>
                  <w:tcW w:w="1014" w:type="dxa"/>
                  <w:vAlign w:val="center"/>
                </w:tcPr>
                <w:p w14:paraId="042FD50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达到课程指标，但绝对收益明显弱于买入持有</w:t>
                  </w:r>
                </w:p>
              </w:tc>
            </w:tr>
          </w:tbl>
          <w:p w14:paraId="6D86B792">
            <w:pPr>
              <w:rPr>
                <w:rFonts w:hint="default" w:ascii="Times New Roman" w:hAnsi="Times New Roman" w:eastAsia="宋体" w:cs="Times New Roman"/>
              </w:rPr>
            </w:pPr>
          </w:p>
          <w:p w14:paraId="640B884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从扫描结果看，MU 不是所有组合中年化收益率最高的样本，但它兼顾了较高收益、可接受回撤和足够的交易次数，更适合作为课程报告中的代表性实验结果。</w:t>
            </w:r>
          </w:p>
          <w:p w14:paraId="6176B21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同时也需要明确指出：由于这些结果来自多股票、多阈值和多预测周期的联合扫描，因此代表性最佳组合不可避免地带有一定样本选择偏差。也就是说，报告选取 MU 作为主展示结果，是因为它在当前扫描结果中兼顾了收益、回撤和交易次数，而不是因为已经证明 MU/T+5/阈值 0.5 在未来市场中一定具有最优或稳定可复制的表现。尤其对于交易次数较少的组合，年化收益率还可能被短样本放大，因此不能脱离累计收益、回撤和交易频次单独评价。</w:t>
            </w:r>
          </w:p>
          <w:p w14:paraId="6237B3DE">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另外可以观察到，部分股票在多个阈值下的结果完全一致，例如 MU、SQ 和 WBD 的若干组合在 0.50 至 0.70 阈值区间内并未发生实质变化。这说明这些样本中的模型输出概率分布相对集中，阈值在该区间内变化时，没有改变主要交易决策。</w:t>
            </w:r>
          </w:p>
          <w:p w14:paraId="64DA3E39">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4.9 策略收益曲线</w:t>
            </w:r>
          </w:p>
          <w:p w14:paraId="30F194E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下图展示了 MU 股票 T+5 策略（阈值 0.5）在回测区间内的净值变化曲线，并与同期买入持有（Buy &amp; Hold）策略进行了对比：</w:t>
            </w:r>
          </w:p>
          <w:p w14:paraId="65ACF665">
            <w:pPr>
              <w:spacing w:before="0" w:after="60"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9405" cy="2680335"/>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680576"/>
                          </a:xfrm>
                          <a:prstGeom prst="rect">
                            <a:avLst/>
                          </a:prstGeom>
                        </pic:spPr>
                      </pic:pic>
                    </a:graphicData>
                  </a:graphic>
                </wp:inline>
              </w:drawing>
            </w:r>
          </w:p>
          <w:p w14:paraId="1E70B9A0">
            <w:pPr>
              <w:spacing w:before="0" w:after="12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1"/>
              </w:rPr>
              <w:t>策略收益曲线</w:t>
            </w:r>
          </w:p>
          <w:p w14:paraId="5C022A3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从收益曲线可以看出，策略与买入持有之间的关系更接近“风险收益权衡”而非“绝对收益全面领先”。具体表现为：</w:t>
            </w:r>
          </w:p>
          <w:p w14:paraId="56724EC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策略净值曲线（蓝色实线）：策略整体呈上升趋势，最终净值达到约 3.17（累计收益率 217.39%）。策略在 2025 年 4 月至 5 月期间有一次明显上涨，净值从约 1.31 快速拉升至约 1.61，主要受益于该阶段 MU 股票的强势表现。最高净值出现在 2026-02-20，达到 3.21。</w:t>
            </w:r>
          </w:p>
          <w:p w14:paraId="45725C3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买入持有净值曲线（红色虚线）：买入持有策略的最终净值约为 3.51（累计收益率 250.71%），略高于策略净值。这说明在回测区间内，MU 股票本身处于较强的上升趋势中。</w:t>
            </w:r>
          </w:p>
          <w:p w14:paraId="1251C5A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策略与基准对比：策略净值大部分时间低于买入持有净值，但在市场回调阶段（如 2025 年 6 月至 7 月、2025 年 11 月至 12 月），策略通过空仓避免了承担全部下跌区间，从而将自身最大回撤控制在 19.00%。这说明该策略的优势更偏向风险控制和择时，而不是在强趋势单边上涨行情下一定跑赢长期满仓持有。</w:t>
            </w:r>
          </w:p>
          <w:p w14:paraId="2666079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交易明细分析：回测期间共完成 39 笔交易，其中盈利 26 笔（胜率 66.67%），亏损 13 笔。平均盈利 6.67%，平均亏损 -3.28%，盈亏比约为 2.03，说明策略在控制亏损的同时能够获取较好的单笔收益。最佳单笔交易为 2025-04-04 至 2025-04-25，收益率达 23.15%；最差单笔交易为 2025-06-26 至 2025-07-21，亏损 -10.22%。</w:t>
            </w:r>
          </w:p>
          <w:p w14:paraId="6CFE453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持仓与空仓分布：回测区间共 302 个交易日，策略持仓 165 天（占比 54.6%），空仓 137 天（占比 45.4%）。空仓期主要集中在市场方向不明或下跌趋势阶段，如 2025 年 5 月下旬至 6 月初、2026 年 2 月下旬等，体现了策略的风险规避能力。最低净值 0.93 出现在 2024-12-31，为策略刚启动初期的正常波动。</w:t>
            </w:r>
          </w:p>
          <w:p w14:paraId="11C58B77">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4.10 误判案例分析</w:t>
            </w:r>
          </w:p>
          <w:p w14:paraId="3586C8D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为了避免报告只展示成功案例，这里补充一笔典型错误交易。根据回测记录，MU 策略在 2025-06-26 开始持仓，并于 2025-07-21 退出，该笔交易收益率为 -10.22%，是整个回测区间内的最差单笔交易。出现该误判的原因可能包括：其一，当时模型虽然给出了继续看涨信号，但市场后续走势并未延续，说明现有特征对短期转折的刻画仍不充分；其二，T+5 预测周期本身具有一定滞后，模型对突发回调的响应速度有限；其三，新闻情绪和技术指标只能覆盖部分信息，若同期存在行业或大盘系统性下跌，个股仍可能偏离模型预期。</w:t>
            </w:r>
          </w:p>
          <w:p w14:paraId="064AB2B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这一案例说明，当前策略虽然整体达标，但模型并不能避免所有单笔较大回撤。也正因为如此，本报告在评价策略时更强调其“课程实验中的有效性”和“风险控制能力”，而不是将其表述为已经成熟稳健的实盘系统。后续若要进一步增强稳健性，可以考虑引入市场基准特征、动态止损机制和更细粒度的事件分类特征，以减少类似误判。</w:t>
            </w:r>
          </w:p>
          <w:p w14:paraId="4C9D1272">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4.11 与策略对比报告的关系</w:t>
            </w:r>
          </w:p>
          <w:p w14:paraId="3578E472">
            <w:pPr>
              <w:spacing w:before="0" w:after="120" w:line="360" w:lineRule="auto"/>
              <w:ind w:firstLine="476"/>
              <w:jc w:val="left"/>
              <w:rPr>
                <w:rFonts w:hint="default" w:ascii="Times New Roman" w:hAnsi="Times New Roman" w:eastAsia="宋体" w:cs="Times New Roman"/>
              </w:rPr>
            </w:pPr>
            <w:r>
              <w:rPr>
                <w:rFonts w:hint="default" w:ascii="Times New Roman" w:hAnsi="Times New Roman" w:eastAsia="宋体" w:cs="Times New Roman"/>
                <w:b w:val="0"/>
                <w:i w:val="0"/>
                <w:sz w:val="24"/>
              </w:rPr>
              <w:t>doc/strategy_comparison_report.md 是由 backend/ml/evaluation_report.py 自动生成的策略对比报告文件，其中第 4.6~4.9 节的内容与本报告 4.6~4.8 节高度一致，是因为两者均基于相同的批量扫描 JSON 结果文件（backend/ml/models/*_thr50_strategy_backtest.json 等）</w:t>
            </w:r>
            <w:bookmarkStart w:id="0" w:name="_GoBack"/>
            <w:bookmarkEnd w:id="0"/>
            <w:r>
              <w:rPr>
                <w:rFonts w:hint="default" w:ascii="Times New Roman" w:hAnsi="Times New Roman" w:eastAsia="宋体" w:cs="Times New Roman"/>
                <w:b w:val="0"/>
                <w:i w:val="0"/>
                <w:sz w:val="24"/>
              </w:rPr>
              <w:t>生成。区别在于：doc/strategy_comparison_report.md 侧重于多股票、多阈值、多预测周期的完整对比表格，供后续深入分析使用；本报告草稿则选取了其中具有代表性的达标组合进行展示，避免信息过载。两份文档可互为参照，原始数据均来源于 backend/ml/models/ 目录下的批量扫描结果。</w:t>
            </w:r>
          </w:p>
          <w:p w14:paraId="2C1837C1">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4.12 结果截图说明</w:t>
            </w:r>
          </w:p>
          <w:p w14:paraId="103B154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项目已经保存部分系统运行和分析截图，可放入最终报告中：</w:t>
            </w:r>
          </w:p>
          <w:tbl>
            <w:tblPr>
              <w:tblStyle w:val="5"/>
              <w:tblW w:w="0" w:type="auto"/>
              <w:jc w:val="center"/>
              <w:tblLayout w:type="fixed"/>
              <w:tblCellMar>
                <w:top w:w="0" w:type="dxa"/>
                <w:left w:w="108" w:type="dxa"/>
                <w:bottom w:w="0" w:type="dxa"/>
                <w:right w:w="108" w:type="dxa"/>
              </w:tblCellMar>
            </w:tblPr>
            <w:tblGrid>
              <w:gridCol w:w="4561"/>
              <w:gridCol w:w="4561"/>
            </w:tblGrid>
            <w:tr w14:paraId="5B91B04B">
              <w:tblPrEx>
                <w:tblCellMar>
                  <w:top w:w="0" w:type="dxa"/>
                  <w:left w:w="108" w:type="dxa"/>
                  <w:bottom w:w="0" w:type="dxa"/>
                  <w:right w:w="108" w:type="dxa"/>
                </w:tblCellMar>
              </w:tblPrEx>
              <w:trPr>
                <w:jc w:val="center"/>
              </w:trPr>
              <w:tc>
                <w:tcPr>
                  <w:tcW w:w="4561" w:type="dxa"/>
                  <w:vAlign w:val="center"/>
                </w:tcPr>
                <w:p w14:paraId="21BEE875">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图片</w:t>
                  </w:r>
                </w:p>
              </w:tc>
              <w:tc>
                <w:tcPr>
                  <w:tcW w:w="4561" w:type="dxa"/>
                  <w:vAlign w:val="center"/>
                </w:tcPr>
                <w:p w14:paraId="3FEDEBF0">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建议说明</w:t>
                  </w:r>
                </w:p>
              </w:tc>
            </w:tr>
            <w:tr w14:paraId="30D7AE8B">
              <w:tblPrEx>
                <w:tblCellMar>
                  <w:top w:w="0" w:type="dxa"/>
                  <w:left w:w="108" w:type="dxa"/>
                  <w:bottom w:w="0" w:type="dxa"/>
                  <w:right w:w="108" w:type="dxa"/>
                </w:tblCellMar>
              </w:tblPrEx>
              <w:trPr>
                <w:jc w:val="center"/>
              </w:trPr>
              <w:tc>
                <w:tcPr>
                  <w:tcW w:w="4561" w:type="dxa"/>
                  <w:vAlign w:val="center"/>
                </w:tcPr>
                <w:p w14:paraId="1F8EAEA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image/image-1.png</w:t>
                  </w:r>
                </w:p>
              </w:tc>
              <w:tc>
                <w:tcPr>
                  <w:tcW w:w="4561" w:type="dxa"/>
                  <w:vAlign w:val="center"/>
                </w:tcPr>
                <w:p w14:paraId="38018AE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1 系统整体架构图</w:t>
                  </w:r>
                </w:p>
              </w:tc>
            </w:tr>
            <w:tr w14:paraId="6DF92184">
              <w:tblPrEx>
                <w:tblCellMar>
                  <w:top w:w="0" w:type="dxa"/>
                  <w:left w:w="108" w:type="dxa"/>
                  <w:bottom w:w="0" w:type="dxa"/>
                  <w:right w:w="108" w:type="dxa"/>
                </w:tblCellMar>
              </w:tblPrEx>
              <w:trPr>
                <w:jc w:val="center"/>
              </w:trPr>
              <w:tc>
                <w:tcPr>
                  <w:tcW w:w="4561" w:type="dxa"/>
                  <w:vAlign w:val="center"/>
                </w:tcPr>
                <w:p w14:paraId="299CB8EE">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image/image.png</w:t>
                  </w:r>
                </w:p>
              </w:tc>
              <w:tc>
                <w:tcPr>
                  <w:tcW w:w="4561" w:type="dxa"/>
                  <w:vAlign w:val="center"/>
                </w:tcPr>
                <w:p w14:paraId="7B964F2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2 MU 股票策略展示界面</w:t>
                  </w:r>
                </w:p>
              </w:tc>
            </w:tr>
            <w:tr w14:paraId="17F34CE6">
              <w:tblPrEx>
                <w:tblCellMar>
                  <w:top w:w="0" w:type="dxa"/>
                  <w:left w:w="108" w:type="dxa"/>
                  <w:bottom w:w="0" w:type="dxa"/>
                  <w:right w:w="108" w:type="dxa"/>
                </w:tblCellMar>
              </w:tblPrEx>
              <w:trPr>
                <w:jc w:val="center"/>
              </w:trPr>
              <w:tc>
                <w:tcPr>
                  <w:tcW w:w="4561" w:type="dxa"/>
                  <w:vAlign w:val="center"/>
                </w:tcPr>
                <w:p w14:paraId="4A9799D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image/image-2.png</w:t>
                  </w:r>
                </w:p>
              </w:tc>
              <w:tc>
                <w:tcPr>
                  <w:tcW w:w="4561" w:type="dxa"/>
                  <w:vAlign w:val="center"/>
                </w:tcPr>
                <w:p w14:paraId="1163341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3 AI 新闻深度分析结果示意图</w:t>
                  </w:r>
                </w:p>
              </w:tc>
            </w:tr>
            <w:tr w14:paraId="0C80DC0F">
              <w:tblPrEx>
                <w:tblCellMar>
                  <w:top w:w="0" w:type="dxa"/>
                  <w:left w:w="108" w:type="dxa"/>
                  <w:bottom w:w="0" w:type="dxa"/>
                  <w:right w:w="108" w:type="dxa"/>
                </w:tblCellMar>
              </w:tblPrEx>
              <w:trPr>
                <w:jc w:val="center"/>
              </w:trPr>
              <w:tc>
                <w:tcPr>
                  <w:tcW w:w="4561" w:type="dxa"/>
                  <w:vAlign w:val="center"/>
                </w:tcPr>
                <w:p w14:paraId="6177084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image/image-3.png</w:t>
                  </w:r>
                </w:p>
              </w:tc>
              <w:tc>
                <w:tcPr>
                  <w:tcW w:w="4561" w:type="dxa"/>
                  <w:vAlign w:val="center"/>
                </w:tcPr>
                <w:p w14:paraId="7949333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4 区间分析界面示意图</w:t>
                  </w:r>
                </w:p>
              </w:tc>
            </w:tr>
            <w:tr w14:paraId="49551EF9">
              <w:tblPrEx>
                <w:tblCellMar>
                  <w:top w:w="0" w:type="dxa"/>
                  <w:left w:w="108" w:type="dxa"/>
                  <w:bottom w:w="0" w:type="dxa"/>
                  <w:right w:w="108" w:type="dxa"/>
                </w:tblCellMar>
              </w:tblPrEx>
              <w:trPr>
                <w:jc w:val="center"/>
              </w:trPr>
              <w:tc>
                <w:tcPr>
                  <w:tcW w:w="4561" w:type="dxa"/>
                  <w:vAlign w:val="center"/>
                </w:tcPr>
                <w:p w14:paraId="6971CCF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image/image-4.png</w:t>
                  </w:r>
                </w:p>
              </w:tc>
              <w:tc>
                <w:tcPr>
                  <w:tcW w:w="4561" w:type="dxa"/>
                  <w:vAlign w:val="center"/>
                </w:tcPr>
                <w:p w14:paraId="4160ED2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5 系统总览界面</w:t>
                  </w:r>
                </w:p>
              </w:tc>
            </w:tr>
            <w:tr w14:paraId="75161221">
              <w:tblPrEx>
                <w:tblCellMar>
                  <w:top w:w="0" w:type="dxa"/>
                  <w:left w:w="108" w:type="dxa"/>
                  <w:bottom w:w="0" w:type="dxa"/>
                  <w:right w:w="108" w:type="dxa"/>
                </w:tblCellMar>
              </w:tblPrEx>
              <w:trPr>
                <w:jc w:val="center"/>
              </w:trPr>
              <w:tc>
                <w:tcPr>
                  <w:tcW w:w="4561" w:type="dxa"/>
                  <w:vAlign w:val="center"/>
                </w:tcPr>
                <w:p w14:paraId="2402F7A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image/新闻.png</w:t>
                  </w:r>
                </w:p>
              </w:tc>
              <w:tc>
                <w:tcPr>
                  <w:tcW w:w="4561" w:type="dxa"/>
                  <w:vAlign w:val="center"/>
                </w:tcPr>
                <w:p w14:paraId="6AD16C6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6 新闻分析界面</w:t>
                  </w:r>
                </w:p>
              </w:tc>
            </w:tr>
            <w:tr w14:paraId="338384B6">
              <w:tblPrEx>
                <w:tblCellMar>
                  <w:top w:w="0" w:type="dxa"/>
                  <w:left w:w="108" w:type="dxa"/>
                  <w:bottom w:w="0" w:type="dxa"/>
                  <w:right w:w="108" w:type="dxa"/>
                </w:tblCellMar>
              </w:tblPrEx>
              <w:trPr>
                <w:jc w:val="center"/>
              </w:trPr>
              <w:tc>
                <w:tcPr>
                  <w:tcW w:w="4561" w:type="dxa"/>
                  <w:vAlign w:val="center"/>
                </w:tcPr>
                <w:p w14:paraId="61BD8AF3">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image/区间分析.png</w:t>
                  </w:r>
                </w:p>
              </w:tc>
              <w:tc>
                <w:tcPr>
                  <w:tcW w:w="4561" w:type="dxa"/>
                  <w:vAlign w:val="center"/>
                </w:tcPr>
                <w:p w14:paraId="0F12F902">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7 区间分析界面</w:t>
                  </w:r>
                </w:p>
              </w:tc>
            </w:tr>
            <w:tr w14:paraId="407BD608">
              <w:tblPrEx>
                <w:tblCellMar>
                  <w:top w:w="0" w:type="dxa"/>
                  <w:left w:w="108" w:type="dxa"/>
                  <w:bottom w:w="0" w:type="dxa"/>
                  <w:right w:w="108" w:type="dxa"/>
                </w:tblCellMar>
              </w:tblPrEx>
              <w:trPr>
                <w:jc w:val="center"/>
              </w:trPr>
              <w:tc>
                <w:tcPr>
                  <w:tcW w:w="4561" w:type="dxa"/>
                  <w:vAlign w:val="center"/>
                </w:tcPr>
                <w:p w14:paraId="1208911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image/strategy_equity_curve.png</w:t>
                  </w:r>
                </w:p>
              </w:tc>
              <w:tc>
                <w:tcPr>
                  <w:tcW w:w="4561" w:type="dxa"/>
                  <w:vAlign w:val="center"/>
                </w:tcPr>
                <w:p w14:paraId="51F04F1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图 8 策略收益曲线与买入持有对比图</w:t>
                  </w:r>
                </w:p>
              </w:tc>
            </w:tr>
          </w:tbl>
          <w:p w14:paraId="398C1BB2">
            <w:pPr>
              <w:rPr>
                <w:rFonts w:hint="default" w:ascii="Times New Roman" w:hAnsi="Times New Roman" w:eastAsia="宋体" w:cs="Times New Roman"/>
              </w:rPr>
            </w:pPr>
          </w:p>
          <w:p w14:paraId="507D885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最终提交 Word 或 PDF 报告时，可以将上述图片插入到“课程设计步骤和结果”章节中。建议在每张图片下增加一句解释性说明，例如“该图用于展示系统整体流程”“该图用于展示 MU 策略收益曲线与买入持有的对比”，使图片承担证据而不是装饰作用。</w:t>
            </w:r>
          </w:p>
          <w:p w14:paraId="1DF6F9E0">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五、课程设计代码说明</w:t>
            </w:r>
          </w:p>
          <w:p w14:paraId="05AD638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项目代码主要分为后端、前端、机器学习和数据处理四个部分。</w:t>
            </w:r>
          </w:p>
          <w:p w14:paraId="57A951AE">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5.1 项目目录结构</w:t>
            </w:r>
          </w:p>
          <w:p w14:paraId="2DB77246">
            <w:pPr>
              <w:spacing w:before="0" w:after="120" w:line="24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0"/>
              </w:rPr>
              <w:t>PokieTicker/</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backend/</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api/                 # FastAPI 接口</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llm/                 # LLM 客户端</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ml/                  # 机器学习训练、预测和回测</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pipeline/            # 新闻过滤、情绪分析、交易日对齐</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polygon/             # Polygon.io 数据获取</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config.py            # 环境配置</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 database.py          # SQLite 数据库结构</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frontend/                # React 前端</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tests/                   # 测试代码</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image/                   # 报告和 README 图片</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pokieticker.db           # 本地 SQLite 数据库</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README.md                # 项目说明</w:t>
            </w:r>
            <w:r>
              <w:rPr>
                <w:rFonts w:hint="default" w:ascii="Times New Roman" w:hAnsi="Times New Roman" w:eastAsia="宋体" w:cs="Times New Roman"/>
                <w:b w:val="0"/>
                <w:i w:val="0"/>
                <w:sz w:val="20"/>
              </w:rPr>
              <w:br w:type="textWrapping"/>
            </w:r>
            <w:r>
              <w:rPr>
                <w:rFonts w:hint="default" w:ascii="Times New Roman" w:hAnsi="Times New Roman" w:eastAsia="宋体" w:cs="Times New Roman"/>
                <w:b w:val="0"/>
                <w:i w:val="0"/>
                <w:sz w:val="20"/>
              </w:rPr>
              <w:t>└── requirements.txt         # Python 依赖</w:t>
            </w:r>
          </w:p>
          <w:p w14:paraId="5FCFB20E">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5.2 核心代码文件</w:t>
            </w:r>
          </w:p>
          <w:tbl>
            <w:tblPr>
              <w:tblStyle w:val="5"/>
              <w:tblW w:w="0" w:type="auto"/>
              <w:jc w:val="center"/>
              <w:tblLayout w:type="fixed"/>
              <w:tblCellMar>
                <w:top w:w="0" w:type="dxa"/>
                <w:left w:w="108" w:type="dxa"/>
                <w:bottom w:w="0" w:type="dxa"/>
                <w:right w:w="108" w:type="dxa"/>
              </w:tblCellMar>
            </w:tblPr>
            <w:tblGrid>
              <w:gridCol w:w="4561"/>
              <w:gridCol w:w="4561"/>
            </w:tblGrid>
            <w:tr w14:paraId="13460B3F">
              <w:tblPrEx>
                <w:tblCellMar>
                  <w:top w:w="0" w:type="dxa"/>
                  <w:left w:w="108" w:type="dxa"/>
                  <w:bottom w:w="0" w:type="dxa"/>
                  <w:right w:w="108" w:type="dxa"/>
                </w:tblCellMar>
              </w:tblPrEx>
              <w:trPr>
                <w:jc w:val="center"/>
              </w:trPr>
              <w:tc>
                <w:tcPr>
                  <w:tcW w:w="4561" w:type="dxa"/>
                  <w:vAlign w:val="center"/>
                </w:tcPr>
                <w:p w14:paraId="27081A61">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文件</w:t>
                  </w:r>
                </w:p>
              </w:tc>
              <w:tc>
                <w:tcPr>
                  <w:tcW w:w="4561" w:type="dxa"/>
                  <w:vAlign w:val="center"/>
                </w:tcPr>
                <w:p w14:paraId="1CBF2CD4">
                  <w:pPr>
                    <w:spacing w:before="0" w:after="0" w:line="240"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作用</w:t>
                  </w:r>
                </w:p>
              </w:tc>
            </w:tr>
            <w:tr w14:paraId="3236C68F">
              <w:tblPrEx>
                <w:tblCellMar>
                  <w:top w:w="0" w:type="dxa"/>
                  <w:left w:w="108" w:type="dxa"/>
                  <w:bottom w:w="0" w:type="dxa"/>
                  <w:right w:w="108" w:type="dxa"/>
                </w:tblCellMar>
              </w:tblPrEx>
              <w:trPr>
                <w:jc w:val="center"/>
              </w:trPr>
              <w:tc>
                <w:tcPr>
                  <w:tcW w:w="4561" w:type="dxa"/>
                  <w:vAlign w:val="center"/>
                </w:tcPr>
                <w:p w14:paraId="1776D9C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backend/polygon/client.py</w:t>
                  </w:r>
                </w:p>
              </w:tc>
              <w:tc>
                <w:tcPr>
                  <w:tcW w:w="4561" w:type="dxa"/>
                  <w:vAlign w:val="center"/>
                </w:tcPr>
                <w:p w14:paraId="49D6FC94">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获取股票行情和新闻数据</w:t>
                  </w:r>
                </w:p>
              </w:tc>
            </w:tr>
            <w:tr w14:paraId="5E99F352">
              <w:tblPrEx>
                <w:tblCellMar>
                  <w:top w:w="0" w:type="dxa"/>
                  <w:left w:w="108" w:type="dxa"/>
                  <w:bottom w:w="0" w:type="dxa"/>
                  <w:right w:w="108" w:type="dxa"/>
                </w:tblCellMar>
              </w:tblPrEx>
              <w:trPr>
                <w:jc w:val="center"/>
              </w:trPr>
              <w:tc>
                <w:tcPr>
                  <w:tcW w:w="4561" w:type="dxa"/>
                  <w:vAlign w:val="center"/>
                </w:tcPr>
                <w:p w14:paraId="056E0F7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backend/database.py</w:t>
                  </w:r>
                </w:p>
              </w:tc>
              <w:tc>
                <w:tcPr>
                  <w:tcW w:w="4561" w:type="dxa"/>
                  <w:vAlign w:val="center"/>
                </w:tcPr>
                <w:p w14:paraId="6ADC0E8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定义 SQLite 数据库结构</w:t>
                  </w:r>
                </w:p>
              </w:tc>
            </w:tr>
            <w:tr w14:paraId="436934E1">
              <w:tblPrEx>
                <w:tblCellMar>
                  <w:top w:w="0" w:type="dxa"/>
                  <w:left w:w="108" w:type="dxa"/>
                  <w:bottom w:w="0" w:type="dxa"/>
                  <w:right w:w="108" w:type="dxa"/>
                </w:tblCellMar>
              </w:tblPrEx>
              <w:trPr>
                <w:jc w:val="center"/>
              </w:trPr>
              <w:tc>
                <w:tcPr>
                  <w:tcW w:w="4561" w:type="dxa"/>
                  <w:vAlign w:val="center"/>
                </w:tcPr>
                <w:p w14:paraId="524B22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backend/pipeline/layer0.py</w:t>
                  </w:r>
                </w:p>
              </w:tc>
              <w:tc>
                <w:tcPr>
                  <w:tcW w:w="4561" w:type="dxa"/>
                  <w:vAlign w:val="center"/>
                </w:tcPr>
                <w:p w14:paraId="3F78453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新闻规则过滤</w:t>
                  </w:r>
                </w:p>
              </w:tc>
            </w:tr>
            <w:tr w14:paraId="46B86C06">
              <w:tblPrEx>
                <w:tblCellMar>
                  <w:top w:w="0" w:type="dxa"/>
                  <w:left w:w="108" w:type="dxa"/>
                  <w:bottom w:w="0" w:type="dxa"/>
                  <w:right w:w="108" w:type="dxa"/>
                </w:tblCellMar>
              </w:tblPrEx>
              <w:trPr>
                <w:jc w:val="center"/>
              </w:trPr>
              <w:tc>
                <w:tcPr>
                  <w:tcW w:w="4561" w:type="dxa"/>
                  <w:vAlign w:val="center"/>
                </w:tcPr>
                <w:p w14:paraId="4B4C7F2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backend/pipeline/layer1.py</w:t>
                  </w:r>
                </w:p>
              </w:tc>
              <w:tc>
                <w:tcPr>
                  <w:tcW w:w="4561" w:type="dxa"/>
                  <w:vAlign w:val="center"/>
                </w:tcPr>
                <w:p w14:paraId="674E195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LLM 批量新闻情绪分析</w:t>
                  </w:r>
                </w:p>
              </w:tc>
            </w:tr>
            <w:tr w14:paraId="3763E9C6">
              <w:tblPrEx>
                <w:tblCellMar>
                  <w:top w:w="0" w:type="dxa"/>
                  <w:left w:w="108" w:type="dxa"/>
                  <w:bottom w:w="0" w:type="dxa"/>
                  <w:right w:w="108" w:type="dxa"/>
                </w:tblCellMar>
              </w:tblPrEx>
              <w:trPr>
                <w:jc w:val="center"/>
              </w:trPr>
              <w:tc>
                <w:tcPr>
                  <w:tcW w:w="4561" w:type="dxa"/>
                  <w:vAlign w:val="center"/>
                </w:tcPr>
                <w:p w14:paraId="0A3CD38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backend/pipeline/alignment.py</w:t>
                  </w:r>
                </w:p>
              </w:tc>
              <w:tc>
                <w:tcPr>
                  <w:tcW w:w="4561" w:type="dxa"/>
                  <w:vAlign w:val="center"/>
                </w:tcPr>
                <w:p w14:paraId="73BA559D">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新闻与交易日对齐并计算未来收益</w:t>
                  </w:r>
                </w:p>
              </w:tc>
            </w:tr>
            <w:tr w14:paraId="24F92419">
              <w:tblPrEx>
                <w:tblCellMar>
                  <w:top w:w="0" w:type="dxa"/>
                  <w:left w:w="108" w:type="dxa"/>
                  <w:bottom w:w="0" w:type="dxa"/>
                  <w:right w:w="108" w:type="dxa"/>
                </w:tblCellMar>
              </w:tblPrEx>
              <w:trPr>
                <w:jc w:val="center"/>
              </w:trPr>
              <w:tc>
                <w:tcPr>
                  <w:tcW w:w="4561" w:type="dxa"/>
                  <w:vAlign w:val="center"/>
                </w:tcPr>
                <w:p w14:paraId="587A2B3B">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backend/ml/features.py</w:t>
                  </w:r>
                </w:p>
              </w:tc>
              <w:tc>
                <w:tcPr>
                  <w:tcW w:w="4561" w:type="dxa"/>
                  <w:vAlign w:val="center"/>
                </w:tcPr>
                <w:p w14:paraId="4D997897">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构建机器学习特征</w:t>
                  </w:r>
                </w:p>
              </w:tc>
            </w:tr>
            <w:tr w14:paraId="76733C1A">
              <w:tblPrEx>
                <w:tblCellMar>
                  <w:top w:w="0" w:type="dxa"/>
                  <w:left w:w="108" w:type="dxa"/>
                  <w:bottom w:w="0" w:type="dxa"/>
                  <w:right w:w="108" w:type="dxa"/>
                </w:tblCellMar>
              </w:tblPrEx>
              <w:trPr>
                <w:jc w:val="center"/>
              </w:trPr>
              <w:tc>
                <w:tcPr>
                  <w:tcW w:w="4561" w:type="dxa"/>
                  <w:vAlign w:val="center"/>
                </w:tcPr>
                <w:p w14:paraId="360971B1">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backend/ml/features_v2.py</w:t>
                  </w:r>
                </w:p>
              </w:tc>
              <w:tc>
                <w:tcPr>
                  <w:tcW w:w="4561" w:type="dxa"/>
                  <w:vAlign w:val="center"/>
                </w:tcPr>
                <w:p w14:paraId="54104B28">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增强特征（含 TextSvdFeatureTransformer 时序文本特征变换器）</w:t>
                  </w:r>
                </w:p>
              </w:tc>
            </w:tr>
            <w:tr w14:paraId="515AB912">
              <w:tblPrEx>
                <w:tblCellMar>
                  <w:top w:w="0" w:type="dxa"/>
                  <w:left w:w="108" w:type="dxa"/>
                  <w:bottom w:w="0" w:type="dxa"/>
                  <w:right w:w="108" w:type="dxa"/>
                </w:tblCellMar>
              </w:tblPrEx>
              <w:trPr>
                <w:jc w:val="center"/>
              </w:trPr>
              <w:tc>
                <w:tcPr>
                  <w:tcW w:w="4561" w:type="dxa"/>
                  <w:vAlign w:val="center"/>
                </w:tcPr>
                <w:p w14:paraId="348E33BA">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backend/ml/model.py</w:t>
                  </w:r>
                </w:p>
              </w:tc>
              <w:tc>
                <w:tcPr>
                  <w:tcW w:w="4561" w:type="dxa"/>
                  <w:vAlign w:val="center"/>
                </w:tcPr>
                <w:p w14:paraId="5EB6AB2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XGBoost 模型训练与预测（含 --target-col 显式目标列）</w:t>
                  </w:r>
                </w:p>
              </w:tc>
            </w:tr>
            <w:tr w14:paraId="15C8845F">
              <w:tblPrEx>
                <w:tblCellMar>
                  <w:top w:w="0" w:type="dxa"/>
                  <w:left w:w="108" w:type="dxa"/>
                  <w:bottom w:w="0" w:type="dxa"/>
                  <w:right w:w="108" w:type="dxa"/>
                </w:tblCellMar>
              </w:tblPrEx>
              <w:trPr>
                <w:jc w:val="center"/>
              </w:trPr>
              <w:tc>
                <w:tcPr>
                  <w:tcW w:w="4561" w:type="dxa"/>
                  <w:vAlign w:val="center"/>
                </w:tcPr>
                <w:p w14:paraId="7EEB8D7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backend/ml/walk_forward.py</w:t>
                  </w:r>
                </w:p>
              </w:tc>
              <w:tc>
                <w:tcPr>
                  <w:tcW w:w="4561" w:type="dxa"/>
                  <w:vAlign w:val="center"/>
                </w:tcPr>
                <w:p w14:paraId="6FA7C41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共享扩展窗口验证工具（run_walk_forward_probabilities）</w:t>
                  </w:r>
                </w:p>
              </w:tc>
            </w:tr>
            <w:tr w14:paraId="570B6CA9">
              <w:tblPrEx>
                <w:tblCellMar>
                  <w:top w:w="0" w:type="dxa"/>
                  <w:left w:w="108" w:type="dxa"/>
                  <w:bottom w:w="0" w:type="dxa"/>
                  <w:right w:w="108" w:type="dxa"/>
                </w:tblCellMar>
              </w:tblPrEx>
              <w:trPr>
                <w:jc w:val="center"/>
              </w:trPr>
              <w:tc>
                <w:tcPr>
                  <w:tcW w:w="4561" w:type="dxa"/>
                  <w:vAlign w:val="center"/>
                </w:tcPr>
                <w:p w14:paraId="4D69B056">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backend/ml/evaluation_report.py</w:t>
                  </w:r>
                </w:p>
              </w:tc>
              <w:tc>
                <w:tcPr>
                  <w:tcW w:w="4561" w:type="dxa"/>
                  <w:vAlign w:val="center"/>
                </w:tcPr>
                <w:p w14:paraId="54138B7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多股票聚合评估报告生成</w:t>
                  </w:r>
                </w:p>
              </w:tc>
            </w:tr>
            <w:tr w14:paraId="54EBD152">
              <w:tblPrEx>
                <w:tblCellMar>
                  <w:top w:w="0" w:type="dxa"/>
                  <w:left w:w="108" w:type="dxa"/>
                  <w:bottom w:w="0" w:type="dxa"/>
                  <w:right w:w="108" w:type="dxa"/>
                </w:tblCellMar>
              </w:tblPrEx>
              <w:trPr>
                <w:jc w:val="center"/>
              </w:trPr>
              <w:tc>
                <w:tcPr>
                  <w:tcW w:w="4561" w:type="dxa"/>
                  <w:vAlign w:val="center"/>
                </w:tcPr>
                <w:p w14:paraId="0B2B02B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backend/ml/backtest.py</w:t>
                  </w:r>
                </w:p>
              </w:tc>
              <w:tc>
                <w:tcPr>
                  <w:tcW w:w="4561" w:type="dxa"/>
                  <w:vAlign w:val="center"/>
                </w:tcPr>
                <w:p w14:paraId="21FE950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扩展窗口交叉验证</w:t>
                  </w:r>
                </w:p>
              </w:tc>
            </w:tr>
            <w:tr w14:paraId="7EB0CBD5">
              <w:tblPrEx>
                <w:tblCellMar>
                  <w:top w:w="0" w:type="dxa"/>
                  <w:left w:w="108" w:type="dxa"/>
                  <w:bottom w:w="0" w:type="dxa"/>
                  <w:right w:w="108" w:type="dxa"/>
                </w:tblCellMar>
              </w:tblPrEx>
              <w:trPr>
                <w:jc w:val="center"/>
              </w:trPr>
              <w:tc>
                <w:tcPr>
                  <w:tcW w:w="4561" w:type="dxa"/>
                  <w:vAlign w:val="center"/>
                </w:tcPr>
                <w:p w14:paraId="0170C1FF">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backend/ml/strategy_backtest.py</w:t>
                  </w:r>
                </w:p>
              </w:tc>
              <w:tc>
                <w:tcPr>
                  <w:tcW w:w="4561" w:type="dxa"/>
                  <w:vAlign w:val="center"/>
                </w:tcPr>
                <w:p w14:paraId="65B44670">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交易策略回测与指标计算</w:t>
                  </w:r>
                </w:p>
              </w:tc>
            </w:tr>
            <w:tr w14:paraId="248F0A4E">
              <w:tblPrEx>
                <w:tblCellMar>
                  <w:top w:w="0" w:type="dxa"/>
                  <w:left w:w="108" w:type="dxa"/>
                  <w:bottom w:w="0" w:type="dxa"/>
                  <w:right w:w="108" w:type="dxa"/>
                </w:tblCellMar>
              </w:tblPrEx>
              <w:trPr>
                <w:jc w:val="center"/>
              </w:trPr>
              <w:tc>
                <w:tcPr>
                  <w:tcW w:w="4561" w:type="dxa"/>
                  <w:vAlign w:val="center"/>
                </w:tcPr>
                <w:p w14:paraId="0E19440C">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backend/api/routers/predict.py</w:t>
                  </w:r>
                </w:p>
              </w:tc>
              <w:tc>
                <w:tcPr>
                  <w:tcW w:w="4561" w:type="dxa"/>
                  <w:vAlign w:val="center"/>
                </w:tcPr>
                <w:p w14:paraId="3F0E8265">
                  <w:pPr>
                    <w:spacing w:before="0" w:after="0" w:line="240" w:lineRule="auto"/>
                    <w:jc w:val="left"/>
                    <w:rPr>
                      <w:rFonts w:hint="default" w:ascii="Times New Roman" w:hAnsi="Times New Roman" w:eastAsia="宋体" w:cs="Times New Roman"/>
                    </w:rPr>
                  </w:pPr>
                  <w:r>
                    <w:rPr>
                      <w:rFonts w:hint="default" w:ascii="Times New Roman" w:hAnsi="Times New Roman" w:eastAsia="宋体" w:cs="Times New Roman"/>
                      <w:b w:val="0"/>
                      <w:i w:val="0"/>
                      <w:sz w:val="21"/>
                    </w:rPr>
                    <w:t>策略结果和预测结果 API</w:t>
                  </w:r>
                </w:p>
              </w:tc>
            </w:tr>
          </w:tbl>
          <w:p w14:paraId="6582F8D0">
            <w:pPr>
              <w:rPr>
                <w:rFonts w:hint="default" w:ascii="Times New Roman" w:hAnsi="Times New Roman" w:eastAsia="宋体" w:cs="Times New Roman"/>
              </w:rPr>
            </w:pPr>
          </w:p>
          <w:p w14:paraId="28FA812A">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5.3 项目运行说明</w:t>
            </w:r>
          </w:p>
          <w:p w14:paraId="44EBE41D">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项目代码仓库地址：</w:t>
            </w:r>
          </w:p>
          <w:p w14:paraId="7EB29B1C">
            <w:pPr>
              <w:spacing w:before="0" w:after="120" w:line="360" w:lineRule="auto"/>
              <w:ind w:firstLine="476"/>
              <w:rPr>
                <w:rFonts w:hint="default" w:ascii="Times New Roman" w:hAnsi="Times New Roman" w:eastAsia="宋体" w:cs="Times New Roman"/>
                <w:b w:val="0"/>
                <w:i w:val="0"/>
                <w:sz w:val="24"/>
              </w:rPr>
            </w:pPr>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HYPERLINK "https://github.com/Chasen-Liao/FinTrack" </w:instrText>
            </w:r>
            <w:r>
              <w:rPr>
                <w:rFonts w:hint="default" w:ascii="Times New Roman" w:hAnsi="Times New Roman" w:eastAsia="宋体" w:cs="Times New Roman"/>
                <w:b w:val="0"/>
                <w:i w:val="0"/>
                <w:sz w:val="24"/>
              </w:rPr>
              <w:fldChar w:fldCharType="separate"/>
            </w:r>
            <w:r>
              <w:rPr>
                <w:rStyle w:val="8"/>
                <w:rFonts w:hint="default" w:ascii="Times New Roman" w:hAnsi="Times New Roman" w:eastAsia="宋体" w:cs="Times New Roman"/>
                <w:b w:val="0"/>
                <w:i w:val="0"/>
                <w:sz w:val="24"/>
              </w:rPr>
              <w:t>https://github.com/Chasen-Liao/FinTrack</w:t>
            </w:r>
            <w:r>
              <w:rPr>
                <w:rFonts w:hint="default" w:ascii="Times New Roman" w:hAnsi="Times New Roman" w:eastAsia="宋体" w:cs="Times New Roman"/>
                <w:b w:val="0"/>
                <w:i w:val="0"/>
                <w:sz w:val="24"/>
              </w:rPr>
              <w:fldChar w:fldCharType="end"/>
            </w:r>
          </w:p>
          <w:p w14:paraId="1BF97A3E">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六、课程设计总结</w:t>
            </w:r>
          </w:p>
          <w:p w14:paraId="25D4B67D">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6.1 项目完成情况</w:t>
            </w:r>
          </w:p>
          <w:p w14:paraId="126874EC">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本项目已经完成基于 AI 算法的量化交易策略设计与实现，主要工作可概括为以下几个方面：</w:t>
            </w:r>
          </w:p>
          <w:p w14:paraId="3D180EC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使用 Polygon.io 获取股票历史行情和相关新闻数据。</w:t>
            </w:r>
          </w:p>
          <w:p w14:paraId="7DDCBD6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建立 SQLite 数据库保存股票、行情、新闻、情绪分析和回测结果。</w:t>
            </w:r>
          </w:p>
          <w:p w14:paraId="598B930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实现新闻规则过滤、LLM 情绪分析和新闻交易日对齐。</w:t>
            </w:r>
          </w:p>
          <w:p w14:paraId="25F44CA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构建新闻情绪特征和价格技术指标。</w:t>
            </w:r>
          </w:p>
          <w:p w14:paraId="4ED712F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使用 XGBoost 训练股票涨跌方向预测模型。</w:t>
            </w:r>
          </w:p>
          <w:p w14:paraId="69EB6BB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将模型预测结果转换为交易信号。</w:t>
            </w:r>
          </w:p>
          <w:p w14:paraId="0BDC480B">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7. 实现策略回测，计算年化收益率、最大回撤、累计收益率、胜率和交易次数。</w:t>
            </w:r>
          </w:p>
          <w:p w14:paraId="41C8262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8. 构建前端页面展示新闻分析、区间分析、预测结果和策略回测结果。</w:t>
            </w:r>
          </w:p>
          <w:p w14:paraId="71AA415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从当前代表性最佳回测结果看，策略年化收益率为 162.99%，最大回撤为 19.00%，满足课程设计要求中的关键指标；同时，多组合扫描也表明，结果并非完全来自单一参数设置下的偶然样本。</w:t>
            </w:r>
          </w:p>
          <w:p w14:paraId="45AD16C2">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6.2 项目优点</w:t>
            </w:r>
          </w:p>
          <w:p w14:paraId="5AEC448F">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本项目的主要优点包括：</w:t>
            </w:r>
          </w:p>
          <w:p w14:paraId="6CCE238C">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数据来源真实，使用实际股票行情和新闻数据，而不是人工构造数据。</w:t>
            </w:r>
          </w:p>
          <w:p w14:paraId="1417CF6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研究流程完整，覆盖数据获取、预处理、特征工程、模型训练、信号生成和回测分析等主要环节。</w:t>
            </w:r>
          </w:p>
          <w:p w14:paraId="0B6B183B">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特征设计较为丰富，同时考虑了价格技术指标、新闻情绪统计和部分上下文信息。</w:t>
            </w:r>
          </w:p>
          <w:p w14:paraId="501F64A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主模型选择具有现实针对性，能够较好适配当前中小规模结构化金融数据，并保留一定可解释性。</w:t>
            </w:r>
          </w:p>
          <w:p w14:paraId="54CB6CD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评价体系较完整，不仅包含分类指标，还包含年化收益率、最大回撤、累计收益率、胜率和交易次数等交易层面指标。</w:t>
            </w:r>
          </w:p>
          <w:p w14:paraId="41784F7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系统具备可视化前端界面，能够对新闻分析、预测结果和策略表现进行直观展示。</w:t>
            </w:r>
          </w:p>
          <w:p w14:paraId="67FE0659">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6.3 遇到的问题与处理方法</w:t>
            </w:r>
          </w:p>
          <w:p w14:paraId="44814278">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在项目实现过程中，主要遇到的问题及相应处理方法如下：</w:t>
            </w:r>
          </w:p>
          <w:p w14:paraId="25B1945E">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新闻数据质量不稳定。部分新闻摘要为空、过短或属于市场综述文章，若直接用于建模会引入较强噪声。对此，项目通过 Layer 0 规则过滤先行剔除明显低质量新闻。</w:t>
            </w:r>
          </w:p>
          <w:p w14:paraId="055A940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新闻发布时间与交易日不完全匹配。新闻可能出现在非交易日或盘后时段，无法直接与当日行情一一对应。对此，项目通过交易日对齐和多周期未来收益计算，建立统一时间基准。</w:t>
            </w:r>
          </w:p>
          <w:p w14:paraId="64581BC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LLM 情绪分析成本较高。逐条分析新闻的成本和耗时都较大，因此项目采用批量处理方式，在保证可用性的同时降低调用成本。</w:t>
            </w:r>
          </w:p>
          <w:p w14:paraId="3759FA8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金融时间序列容易出现未来信息泄露。为降低前视偏差风险，项目在技术指标构造中使用历史窗口和 shift(1) 处理，并在训练和回测中采用扩展窗口样本外验证。</w:t>
            </w:r>
          </w:p>
          <w:p w14:paraId="73FEE94F">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单一股票结果可能存在偶然性。当前代表性最佳策略集中在 MU 股票，因此项目补充了多股票、多阈值、多预测周期扫描，以降低仅凭单一案例得出结论的风险。</w:t>
            </w:r>
          </w:p>
          <w:p w14:paraId="1186133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主模型分类能力有限。针对这一问题，项目进一步补做了参数搜索、中性样本过滤、市场基准特征和 AUC 优先实验，但结果显示，仅依靠调参难以根本解决预测能力偏弱的问题。</w:t>
            </w:r>
          </w:p>
          <w:p w14:paraId="2480D478">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6.4 不足之处</w:t>
            </w:r>
          </w:p>
          <w:p w14:paraId="79B861A6">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项目仍存在一些不足：</w:t>
            </w:r>
          </w:p>
          <w:p w14:paraId="351AB5F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虽然本项目已经补充了 XGBoost、LightGBM、Random Forest 和 Logistic Regression 的对比实验，但四种模型的样本外 AUC 整体仍主要分布在 0.50~0.65 区间，其中多数结果徘徊在 0.50~0.53 附近。这说明当前瓶颈并不主要来自模型种类，而更多来自标签定义、样本噪声和特征表达能力。</w:t>
            </w:r>
          </w:p>
          <w:p w14:paraId="4E5CE37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新闻时序处理仍有进一步细化空间。当前流程已经完成新闻与交易日的对齐，但对盘中、盘后、不同发布时间窗口的影响差异尚未进行更精细建模。</w:t>
            </w:r>
          </w:p>
          <w:p w14:paraId="7E5B89D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回测虽然纳入了手续费和简化滑点成本，但仍属于课程实验层面的简化框架，尚未覆盖流动性约束、盘口冲击、成交量限制和真实撮合机制等更贴近实盘的因素。</w:t>
            </w:r>
          </w:p>
          <w:p w14:paraId="3587F759">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当前代表性最佳策略虽然满足课程指标，但其累计收益率仍低于同期买入持有收益率。这说明该策略当前更偏向“通过择时降低回撤”，而不是在趋势性强行情中持续创造超额收益。</w:t>
            </w:r>
          </w:p>
          <w:p w14:paraId="465771E4">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多股票、多阈值、多预测周期扫描后再选取代表性组合，天然存在一定样本选择偏差。特别是少交易次数组合的年化收益率容易被放大，因此不宜将单一高年化结果直接视为稳健结论。</w:t>
            </w:r>
          </w:p>
          <w:p w14:paraId="1C8CF54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多股票组合层面的仓位配置、资金管理和组合风险控制仍较简单，当前结果主要以单股票策略为主，缺少更完整的组合化验证。</w:t>
            </w:r>
          </w:p>
          <w:p w14:paraId="4129503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7. 目前对误判案例的讨论仍以代表性个案分析为主，尚未形成系统性的错误类型归纳，例如按市场环境、新闻类别、波动状态或行业联动因素分组分析失败交易。</w:t>
            </w:r>
          </w:p>
          <w:p w14:paraId="316FEDCA">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8. AUC 优先实验表明，即便采用低噪声标签并围绕 ROC-AUC 优化搜索目标，模型的样本外排序能力仍只是在随机基准附近小幅改善。这说明标签噪声更像结构性问题，而不是单靠调参即可完全解决的问题。</w:t>
            </w:r>
          </w:p>
          <w:p w14:paraId="01AE35B0">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4"/>
              </w:rPr>
              <w:t>6.5 后续优化方向</w:t>
            </w:r>
          </w:p>
          <w:p w14:paraId="604EF3F8">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后续可以从以下方面继续改进：</w:t>
            </w:r>
          </w:p>
          <w:p w14:paraId="05588ED5">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1. 继续优化预测目标定义。除了现有的低噪声标签外，后续可以尝试将收益方向预测扩展为分层分类、区间分类或回归任务，以降低“微小涨跌也被强制二分类”带来的噪声问题。</w:t>
            </w:r>
          </w:p>
          <w:p w14:paraId="2F3EB99B">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2. 进一步细化新闻特征。可在现有新闻过滤和情绪分析基础上补充更稳定的事件类别标签、盘前盘后区分、消息源权重和行业主题传播特征，以增强模型对事件驱动机制的表达能力。</w:t>
            </w:r>
          </w:p>
          <w:p w14:paraId="429DC04D">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3. 引入更严格的概率校准和动态阈值机制。当前交易信号主要依赖固定阈值，后续可结合市场波动状态、模型置信度分布和历史命中率，对阈值进行动态调整。</w:t>
            </w:r>
          </w:p>
          <w:p w14:paraId="540D5793">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4. 继续完善成本与成交建模。在已有手续费和简化滑点基础上，可进一步加入成交量约束、不同市场状态下的滑点差异和更细粒度的执行假设，以提高回测结果的现实性。</w:t>
            </w:r>
          </w:p>
          <w:p w14:paraId="66CB4746">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5. 从单股票结果扩展到组合层面。后续可在多个股票之间进行统一仓位管理、风险预算和组合回测，以检验策略是否具备更强的分散化和稳健性。</w:t>
            </w:r>
          </w:p>
          <w:p w14:paraId="703203D7">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6. 补充更系统的错误分析与可解释性研究。除当前的特征重要性和个案复盘外，还可以对错误交易按市场环境、波动状态、行业和新闻类别进行分组，分析模型在哪些场景下更容易失效。</w:t>
            </w:r>
          </w:p>
          <w:p w14:paraId="20A09791">
            <w:pPr>
              <w:spacing w:before="0" w:after="60" w:line="360" w:lineRule="auto"/>
              <w:ind w:left="420"/>
              <w:rPr>
                <w:rFonts w:hint="default" w:ascii="Times New Roman" w:hAnsi="Times New Roman" w:eastAsia="宋体" w:cs="Times New Roman"/>
              </w:rPr>
            </w:pPr>
            <w:r>
              <w:rPr>
                <w:rFonts w:hint="default" w:ascii="Times New Roman" w:hAnsi="Times New Roman" w:eastAsia="宋体" w:cs="Times New Roman"/>
                <w:b w:val="0"/>
                <w:i w:val="0"/>
                <w:sz w:val="24"/>
              </w:rPr>
              <w:t>7. 保留深度学习路径作为对照，但不宜在当前样本规模下将其作为主方向。若后续扩充到更长时间跨度、更多股票和更高频的序列数据，再重新评估 LSTM 或 Transformer 类模型的适用性会更合理。</w:t>
            </w:r>
          </w:p>
          <w:p w14:paraId="5758AF6B">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七、结论</w:t>
            </w:r>
          </w:p>
          <w:p w14:paraId="1F6C5DB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本课程设计实现了一个基于 AI 算法的量化交易策略研究系统。项目以真实股票行情和财经新闻为数据基础，通过新闻情绪分析和技术指标构建机器学习特征，使用 XGBoost 模型预测股票未来涨跌方向，并将预测结果转换为交易信号进行回测。</w:t>
            </w:r>
          </w:p>
          <w:p w14:paraId="6395734B">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实验结果表明，当前代表性最佳策略在 MU 股票上取得了较好的课程实验回测表现。该策略在 2024-12-16 至 2026-03-03 的回测区间内，年化收益率达到 162.99%，最大回撤为 19.00%，满足课程要求中“年化收益率超过 20%、最大回撤不超过 20%”的指标要求。同时，参数扫描结果说明该系统并非只在单一阈值下才出现有效结果，但不同股票、不同预测周期之间的收益质量和稳定性仍存在明显差异。</w:t>
            </w:r>
          </w:p>
          <w:p w14:paraId="51E74676">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总体来看，本项目已经完成了 AI 算法选择、真实金融数据获取、新闻情绪处理、特征工程、模型训练、交易信号生成、策略回测和结果分析等完整流程，达到了课程设计对于“方法完整、过程可复现、结果可评价”的基本目标。项目的主要价值在于：一方面，它证明了将行情数据、新闻情绪分析与机器学习结合起来，能够形成一条完整且可运行的量化研究链路；另一方面，它也通过扩展窗口验证、多模型对比、AUC 优先实验和 LSTM 拓展实验，较为清楚地暴露出当前方法的局限性。</w:t>
            </w:r>
          </w:p>
          <w:p w14:paraId="1A734DF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因此，本报告对最终结果采取审慎结论：当前策略已经在课程实验框架下达标，但其优势更偏向于一定程度的择时和回撤控制，而不是已经被充分证明具备稳定泛化能力的高置信度预测系统。特别是 AUC 优先实验表明，模型样本外排序能力整体仍较弱；买入持有收益率高于策略收益率也说明该结果部分受益于标的自身的强趋势行情。后续若要进一步提升策略的稳健性与说服力，仍需继续从标签定义、新闻特征表达、概率校准、交易时序约束以及多股票组合回测等方面进行系统改进。</w:t>
            </w:r>
          </w:p>
          <w:p w14:paraId="20E795AC">
            <w:pPr>
              <w:spacing w:before="120" w:after="120" w:line="300" w:lineRule="auto"/>
              <w:jc w:val="left"/>
              <w:rPr>
                <w:rFonts w:hint="default" w:ascii="Times New Roman" w:hAnsi="Times New Roman" w:eastAsia="宋体" w:cs="Times New Roman"/>
              </w:rPr>
            </w:pPr>
            <w:r>
              <w:rPr>
                <w:rFonts w:hint="default" w:ascii="Times New Roman" w:hAnsi="Times New Roman" w:eastAsia="宋体" w:cs="Times New Roman"/>
                <w:b/>
                <w:i w:val="0"/>
                <w:sz w:val="28"/>
              </w:rPr>
              <w:t>附录 A：关键结果截图</w:t>
            </w:r>
          </w:p>
          <w:p w14:paraId="0072359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最终排版时，建议将以下图片插入对应章节，并保留正式图题。</w:t>
            </w:r>
          </w:p>
          <w:p w14:paraId="69A6793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图 A-1 系统总览界面</w:t>
            </w:r>
          </w:p>
          <w:p w14:paraId="50B4462B">
            <w:pPr>
              <w:spacing w:before="0" w:after="60"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9405" cy="3241040"/>
                  <wp:effectExtent l="0" t="0" r="889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3241299"/>
                          </a:xfrm>
                          <a:prstGeom prst="rect">
                            <a:avLst/>
                          </a:prstGeom>
                        </pic:spPr>
                      </pic:pic>
                    </a:graphicData>
                  </a:graphic>
                </wp:inline>
              </w:drawing>
            </w:r>
          </w:p>
          <w:p w14:paraId="7A5E52B3">
            <w:pPr>
              <w:spacing w:before="0" w:after="12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1"/>
              </w:rPr>
              <w:t>系统总览界面</w:t>
            </w:r>
          </w:p>
          <w:p w14:paraId="4687C441">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图 A-2 系统整体架构图</w:t>
            </w:r>
          </w:p>
          <w:p w14:paraId="6E8132B5">
            <w:pPr>
              <w:spacing w:before="0" w:after="60"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9405" cy="3241040"/>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3241299"/>
                          </a:xfrm>
                          <a:prstGeom prst="rect">
                            <a:avLst/>
                          </a:prstGeom>
                        </pic:spPr>
                      </pic:pic>
                    </a:graphicData>
                  </a:graphic>
                </wp:inline>
              </w:drawing>
            </w:r>
          </w:p>
          <w:p w14:paraId="417E6298">
            <w:pPr>
              <w:spacing w:before="0" w:after="12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1"/>
              </w:rPr>
              <w:t>系统整体架构图</w:t>
            </w:r>
          </w:p>
          <w:p w14:paraId="51EC7910">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图 A-3 MU 股票策略展示界面</w:t>
            </w:r>
          </w:p>
          <w:p w14:paraId="79283EF7">
            <w:pPr>
              <w:spacing w:before="0" w:after="60"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9405" cy="4578985"/>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4579412"/>
                          </a:xfrm>
                          <a:prstGeom prst="rect">
                            <a:avLst/>
                          </a:prstGeom>
                        </pic:spPr>
                      </pic:pic>
                    </a:graphicData>
                  </a:graphic>
                </wp:inline>
              </w:drawing>
            </w:r>
          </w:p>
          <w:p w14:paraId="5B41CDC0">
            <w:pPr>
              <w:spacing w:before="0" w:after="12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1"/>
              </w:rPr>
              <w:t>MU 股票策略展示界面</w:t>
            </w:r>
          </w:p>
          <w:p w14:paraId="346BD0DA">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图 A-4 AI 新闻深度分析结果示意图</w:t>
            </w:r>
          </w:p>
          <w:p w14:paraId="0633A01F">
            <w:pPr>
              <w:spacing w:before="0" w:after="60"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9405" cy="3241040"/>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00000" cy="3241299"/>
                          </a:xfrm>
                          <a:prstGeom prst="rect">
                            <a:avLst/>
                          </a:prstGeom>
                        </pic:spPr>
                      </pic:pic>
                    </a:graphicData>
                  </a:graphic>
                </wp:inline>
              </w:drawing>
            </w:r>
          </w:p>
          <w:p w14:paraId="168C6B41">
            <w:pPr>
              <w:spacing w:before="0" w:after="12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1"/>
              </w:rPr>
              <w:t>AI 新闻深度分析结果示意图</w:t>
            </w:r>
          </w:p>
          <w:p w14:paraId="6E88B237">
            <w:pPr>
              <w:spacing w:before="0" w:after="120" w:line="360" w:lineRule="auto"/>
              <w:ind w:firstLine="476"/>
              <w:rPr>
                <w:rFonts w:hint="default" w:ascii="Times New Roman" w:hAnsi="Times New Roman" w:eastAsia="宋体" w:cs="Times New Roman"/>
              </w:rPr>
            </w:pPr>
            <w:r>
              <w:rPr>
                <w:rFonts w:hint="default" w:ascii="Times New Roman" w:hAnsi="Times New Roman" w:eastAsia="宋体" w:cs="Times New Roman"/>
                <w:b w:val="0"/>
                <w:i w:val="0"/>
                <w:sz w:val="24"/>
              </w:rPr>
              <w:t>图 A-5 区间分析界面示意图</w:t>
            </w:r>
          </w:p>
          <w:p w14:paraId="068783BD">
            <w:pPr>
              <w:spacing w:before="0" w:after="60"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9405" cy="3241040"/>
                  <wp:effectExtent l="0" t="0" r="889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3241299"/>
                          </a:xfrm>
                          <a:prstGeom prst="rect">
                            <a:avLst/>
                          </a:prstGeom>
                        </pic:spPr>
                      </pic:pic>
                    </a:graphicData>
                  </a:graphic>
                </wp:inline>
              </w:drawing>
            </w:r>
          </w:p>
          <w:p w14:paraId="252CDEFD">
            <w:pPr>
              <w:spacing w:before="0" w:after="12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1"/>
              </w:rPr>
              <w:t>区间分析界面示意图</w:t>
            </w:r>
          </w:p>
        </w:tc>
      </w:tr>
    </w:tbl>
    <w:p w14:paraId="3D893AD0">
      <w:pPr>
        <w:rPr>
          <w:rFonts w:hint="eastAsia"/>
        </w:rPr>
      </w:pPr>
    </w:p>
    <w:sectPr>
      <w:footerReference r:id="rId3" w:type="default"/>
      <w:footerReference r:id="rId4" w:type="even"/>
      <w:pgSz w:w="11906" w:h="16838"/>
      <w:pgMar w:top="1440" w:right="1361" w:bottom="1440" w:left="1191"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12F3E">
    <w:pPr>
      <w:pStyle w:val="3"/>
      <w:framePr w:wrap="around" w:vAnchor="text" w:hAnchor="margin" w:xAlign="center" w:y="1"/>
      <w:rPr>
        <w:rStyle w:val="7"/>
      </w:rPr>
    </w:pPr>
    <w:r>
      <w:fldChar w:fldCharType="begin"/>
    </w:r>
    <w:r>
      <w:rPr>
        <w:rStyle w:val="7"/>
      </w:rPr>
      <w:instrText xml:space="preserve">PAGE  </w:instrText>
    </w:r>
    <w:r>
      <w:fldChar w:fldCharType="separate"/>
    </w:r>
    <w:r>
      <w:rPr>
        <w:rStyle w:val="7"/>
      </w:rPr>
      <w:t>1</w:t>
    </w:r>
    <w:r>
      <w:fldChar w:fldCharType="end"/>
    </w:r>
  </w:p>
  <w:p w14:paraId="5387969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94875">
    <w:pPr>
      <w:pStyle w:val="3"/>
      <w:framePr w:wrap="around" w:vAnchor="text" w:hAnchor="margin" w:xAlign="center" w:y="1"/>
      <w:rPr>
        <w:rStyle w:val="7"/>
      </w:rPr>
    </w:pPr>
    <w:r>
      <w:fldChar w:fldCharType="begin"/>
    </w:r>
    <w:r>
      <w:rPr>
        <w:rStyle w:val="7"/>
      </w:rPr>
      <w:instrText xml:space="preserve">PAGE  </w:instrText>
    </w:r>
    <w:r>
      <w:fldChar w:fldCharType="separate"/>
    </w:r>
    <w:r>
      <w:fldChar w:fldCharType="end"/>
    </w:r>
  </w:p>
  <w:p w14:paraId="0BB6777A">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632"/>
    <w:rsid w:val="00015DB3"/>
    <w:rsid w:val="00036F70"/>
    <w:rsid w:val="00043650"/>
    <w:rsid w:val="00051DEF"/>
    <w:rsid w:val="00053399"/>
    <w:rsid w:val="00062E7F"/>
    <w:rsid w:val="00066405"/>
    <w:rsid w:val="0006795F"/>
    <w:rsid w:val="00072874"/>
    <w:rsid w:val="00077A56"/>
    <w:rsid w:val="00090851"/>
    <w:rsid w:val="000A536C"/>
    <w:rsid w:val="000B6526"/>
    <w:rsid w:val="000B7894"/>
    <w:rsid w:val="000D219D"/>
    <w:rsid w:val="000D339D"/>
    <w:rsid w:val="000E3726"/>
    <w:rsid w:val="000F3BE7"/>
    <w:rsid w:val="001013E1"/>
    <w:rsid w:val="00101869"/>
    <w:rsid w:val="0010279F"/>
    <w:rsid w:val="001137AC"/>
    <w:rsid w:val="00117251"/>
    <w:rsid w:val="0013478E"/>
    <w:rsid w:val="00142198"/>
    <w:rsid w:val="001445C2"/>
    <w:rsid w:val="00157C9B"/>
    <w:rsid w:val="00165821"/>
    <w:rsid w:val="00166A36"/>
    <w:rsid w:val="001755A6"/>
    <w:rsid w:val="001769EF"/>
    <w:rsid w:val="00184388"/>
    <w:rsid w:val="00184A4C"/>
    <w:rsid w:val="001923B9"/>
    <w:rsid w:val="00193724"/>
    <w:rsid w:val="001B71AA"/>
    <w:rsid w:val="001B76A2"/>
    <w:rsid w:val="001C7463"/>
    <w:rsid w:val="001E3E8B"/>
    <w:rsid w:val="00203E11"/>
    <w:rsid w:val="00215A1C"/>
    <w:rsid w:val="002173F9"/>
    <w:rsid w:val="002202C2"/>
    <w:rsid w:val="00232D74"/>
    <w:rsid w:val="002360C5"/>
    <w:rsid w:val="00250404"/>
    <w:rsid w:val="00252820"/>
    <w:rsid w:val="00264671"/>
    <w:rsid w:val="002721F0"/>
    <w:rsid w:val="002753AC"/>
    <w:rsid w:val="002961A7"/>
    <w:rsid w:val="00296484"/>
    <w:rsid w:val="00297F5A"/>
    <w:rsid w:val="002A477C"/>
    <w:rsid w:val="002C7A39"/>
    <w:rsid w:val="002F401F"/>
    <w:rsid w:val="00303445"/>
    <w:rsid w:val="003330B8"/>
    <w:rsid w:val="003366F5"/>
    <w:rsid w:val="00341B56"/>
    <w:rsid w:val="00342AA6"/>
    <w:rsid w:val="003504C5"/>
    <w:rsid w:val="00357087"/>
    <w:rsid w:val="00357A1A"/>
    <w:rsid w:val="00357DDC"/>
    <w:rsid w:val="00364C82"/>
    <w:rsid w:val="00366F9A"/>
    <w:rsid w:val="003865D0"/>
    <w:rsid w:val="003913D8"/>
    <w:rsid w:val="0039220B"/>
    <w:rsid w:val="0039297D"/>
    <w:rsid w:val="003A3961"/>
    <w:rsid w:val="003C282D"/>
    <w:rsid w:val="003C6145"/>
    <w:rsid w:val="003D46AA"/>
    <w:rsid w:val="003E062F"/>
    <w:rsid w:val="003F26D5"/>
    <w:rsid w:val="00406875"/>
    <w:rsid w:val="00407BE8"/>
    <w:rsid w:val="00421A80"/>
    <w:rsid w:val="00424FD5"/>
    <w:rsid w:val="00426ADB"/>
    <w:rsid w:val="004300CC"/>
    <w:rsid w:val="00455B31"/>
    <w:rsid w:val="00457F5F"/>
    <w:rsid w:val="00462C55"/>
    <w:rsid w:val="00462E31"/>
    <w:rsid w:val="0046618B"/>
    <w:rsid w:val="004673E1"/>
    <w:rsid w:val="00471988"/>
    <w:rsid w:val="00480C85"/>
    <w:rsid w:val="00487CA1"/>
    <w:rsid w:val="004A0136"/>
    <w:rsid w:val="004A61A9"/>
    <w:rsid w:val="004A756E"/>
    <w:rsid w:val="004B065E"/>
    <w:rsid w:val="004B2F69"/>
    <w:rsid w:val="004C087C"/>
    <w:rsid w:val="004D095B"/>
    <w:rsid w:val="004D1F8C"/>
    <w:rsid w:val="004D4274"/>
    <w:rsid w:val="004D66BE"/>
    <w:rsid w:val="004D71CE"/>
    <w:rsid w:val="004E4807"/>
    <w:rsid w:val="004F25B8"/>
    <w:rsid w:val="004F4FD7"/>
    <w:rsid w:val="004F7099"/>
    <w:rsid w:val="005031E4"/>
    <w:rsid w:val="005127C1"/>
    <w:rsid w:val="00513D5B"/>
    <w:rsid w:val="0052031F"/>
    <w:rsid w:val="00532EA2"/>
    <w:rsid w:val="00540470"/>
    <w:rsid w:val="00542691"/>
    <w:rsid w:val="005455BD"/>
    <w:rsid w:val="00547329"/>
    <w:rsid w:val="00562EE8"/>
    <w:rsid w:val="00563492"/>
    <w:rsid w:val="00573DB7"/>
    <w:rsid w:val="005805DA"/>
    <w:rsid w:val="00595D7E"/>
    <w:rsid w:val="005A0824"/>
    <w:rsid w:val="005A409C"/>
    <w:rsid w:val="005A4C84"/>
    <w:rsid w:val="005A67FB"/>
    <w:rsid w:val="005B1004"/>
    <w:rsid w:val="005C08BE"/>
    <w:rsid w:val="005C3677"/>
    <w:rsid w:val="005F143D"/>
    <w:rsid w:val="005F5C7C"/>
    <w:rsid w:val="005F78D4"/>
    <w:rsid w:val="006042B1"/>
    <w:rsid w:val="006100DA"/>
    <w:rsid w:val="00625B72"/>
    <w:rsid w:val="00626412"/>
    <w:rsid w:val="00626B6A"/>
    <w:rsid w:val="00627815"/>
    <w:rsid w:val="00642EC5"/>
    <w:rsid w:val="006763F5"/>
    <w:rsid w:val="006764CD"/>
    <w:rsid w:val="00684BEC"/>
    <w:rsid w:val="0069705C"/>
    <w:rsid w:val="006A0A0B"/>
    <w:rsid w:val="006A39BD"/>
    <w:rsid w:val="006A6242"/>
    <w:rsid w:val="006B4B3D"/>
    <w:rsid w:val="006C3AE4"/>
    <w:rsid w:val="006C6600"/>
    <w:rsid w:val="006D018C"/>
    <w:rsid w:val="006D09EA"/>
    <w:rsid w:val="006D6C73"/>
    <w:rsid w:val="006E6016"/>
    <w:rsid w:val="006E7B6F"/>
    <w:rsid w:val="006F3297"/>
    <w:rsid w:val="00701917"/>
    <w:rsid w:val="0070341E"/>
    <w:rsid w:val="00720F7A"/>
    <w:rsid w:val="007214AB"/>
    <w:rsid w:val="00721C88"/>
    <w:rsid w:val="007437E2"/>
    <w:rsid w:val="00744184"/>
    <w:rsid w:val="00744E85"/>
    <w:rsid w:val="007468CD"/>
    <w:rsid w:val="00760A14"/>
    <w:rsid w:val="00763996"/>
    <w:rsid w:val="007735F4"/>
    <w:rsid w:val="00775259"/>
    <w:rsid w:val="00777136"/>
    <w:rsid w:val="00782E09"/>
    <w:rsid w:val="007938DF"/>
    <w:rsid w:val="007940CC"/>
    <w:rsid w:val="00795132"/>
    <w:rsid w:val="007A1C81"/>
    <w:rsid w:val="007B76CE"/>
    <w:rsid w:val="007C04E8"/>
    <w:rsid w:val="007C0D88"/>
    <w:rsid w:val="007C583D"/>
    <w:rsid w:val="007D2462"/>
    <w:rsid w:val="007D7664"/>
    <w:rsid w:val="007F0197"/>
    <w:rsid w:val="007F7CD6"/>
    <w:rsid w:val="00801518"/>
    <w:rsid w:val="0080500A"/>
    <w:rsid w:val="00811B9E"/>
    <w:rsid w:val="00820A04"/>
    <w:rsid w:val="00825826"/>
    <w:rsid w:val="008353A9"/>
    <w:rsid w:val="00845AA1"/>
    <w:rsid w:val="00846949"/>
    <w:rsid w:val="008533AD"/>
    <w:rsid w:val="00855A57"/>
    <w:rsid w:val="008624B6"/>
    <w:rsid w:val="00862DE0"/>
    <w:rsid w:val="00880A8A"/>
    <w:rsid w:val="00882D30"/>
    <w:rsid w:val="008836DF"/>
    <w:rsid w:val="00886A91"/>
    <w:rsid w:val="00887F41"/>
    <w:rsid w:val="00892CD9"/>
    <w:rsid w:val="008974E5"/>
    <w:rsid w:val="008A0397"/>
    <w:rsid w:val="008B03D3"/>
    <w:rsid w:val="008C4598"/>
    <w:rsid w:val="008C526F"/>
    <w:rsid w:val="008E4097"/>
    <w:rsid w:val="008E6839"/>
    <w:rsid w:val="008F2F54"/>
    <w:rsid w:val="008F3E43"/>
    <w:rsid w:val="008F4D79"/>
    <w:rsid w:val="00904A88"/>
    <w:rsid w:val="00905B0C"/>
    <w:rsid w:val="00920697"/>
    <w:rsid w:val="00923053"/>
    <w:rsid w:val="009265E1"/>
    <w:rsid w:val="00932C25"/>
    <w:rsid w:val="0094068E"/>
    <w:rsid w:val="009467A3"/>
    <w:rsid w:val="00947C26"/>
    <w:rsid w:val="00957BBC"/>
    <w:rsid w:val="00957D38"/>
    <w:rsid w:val="009619D8"/>
    <w:rsid w:val="00965D2C"/>
    <w:rsid w:val="009817D6"/>
    <w:rsid w:val="00985140"/>
    <w:rsid w:val="0098692A"/>
    <w:rsid w:val="00990D4A"/>
    <w:rsid w:val="009914B0"/>
    <w:rsid w:val="009A1F8B"/>
    <w:rsid w:val="009A5010"/>
    <w:rsid w:val="009A75C6"/>
    <w:rsid w:val="009B24F9"/>
    <w:rsid w:val="009D0E7C"/>
    <w:rsid w:val="009D19D3"/>
    <w:rsid w:val="009D5524"/>
    <w:rsid w:val="009E448D"/>
    <w:rsid w:val="009F2BB9"/>
    <w:rsid w:val="009F3A94"/>
    <w:rsid w:val="009F5556"/>
    <w:rsid w:val="009F67A7"/>
    <w:rsid w:val="00A033BA"/>
    <w:rsid w:val="00A03D36"/>
    <w:rsid w:val="00A046D4"/>
    <w:rsid w:val="00A06086"/>
    <w:rsid w:val="00A10F98"/>
    <w:rsid w:val="00A112EA"/>
    <w:rsid w:val="00A14B56"/>
    <w:rsid w:val="00A16DB1"/>
    <w:rsid w:val="00A24089"/>
    <w:rsid w:val="00A31046"/>
    <w:rsid w:val="00A341E9"/>
    <w:rsid w:val="00A41101"/>
    <w:rsid w:val="00A47B65"/>
    <w:rsid w:val="00A47C07"/>
    <w:rsid w:val="00A633E6"/>
    <w:rsid w:val="00A66C39"/>
    <w:rsid w:val="00A77F7C"/>
    <w:rsid w:val="00A83639"/>
    <w:rsid w:val="00A872BB"/>
    <w:rsid w:val="00A902D9"/>
    <w:rsid w:val="00AB1B77"/>
    <w:rsid w:val="00AC0CD4"/>
    <w:rsid w:val="00AC65C6"/>
    <w:rsid w:val="00AD31D0"/>
    <w:rsid w:val="00AE14FD"/>
    <w:rsid w:val="00AE49A8"/>
    <w:rsid w:val="00AF0210"/>
    <w:rsid w:val="00AF0544"/>
    <w:rsid w:val="00AF1E5E"/>
    <w:rsid w:val="00AF5405"/>
    <w:rsid w:val="00AF5BEC"/>
    <w:rsid w:val="00B059EE"/>
    <w:rsid w:val="00B0718C"/>
    <w:rsid w:val="00B17D7B"/>
    <w:rsid w:val="00B26363"/>
    <w:rsid w:val="00B26A77"/>
    <w:rsid w:val="00B27DD7"/>
    <w:rsid w:val="00B323ED"/>
    <w:rsid w:val="00B40912"/>
    <w:rsid w:val="00B55862"/>
    <w:rsid w:val="00B56365"/>
    <w:rsid w:val="00B625DD"/>
    <w:rsid w:val="00B63E7B"/>
    <w:rsid w:val="00B664A0"/>
    <w:rsid w:val="00B97F92"/>
    <w:rsid w:val="00BA1462"/>
    <w:rsid w:val="00BA239E"/>
    <w:rsid w:val="00BA6292"/>
    <w:rsid w:val="00BB057D"/>
    <w:rsid w:val="00BB2A12"/>
    <w:rsid w:val="00BE09B2"/>
    <w:rsid w:val="00BE124B"/>
    <w:rsid w:val="00BE38C0"/>
    <w:rsid w:val="00BE6164"/>
    <w:rsid w:val="00BE6819"/>
    <w:rsid w:val="00BE78FE"/>
    <w:rsid w:val="00BF4A8C"/>
    <w:rsid w:val="00BF6781"/>
    <w:rsid w:val="00C06405"/>
    <w:rsid w:val="00C2385E"/>
    <w:rsid w:val="00C2487A"/>
    <w:rsid w:val="00C26DBF"/>
    <w:rsid w:val="00C33550"/>
    <w:rsid w:val="00C37392"/>
    <w:rsid w:val="00C41F17"/>
    <w:rsid w:val="00C46DA7"/>
    <w:rsid w:val="00C541EF"/>
    <w:rsid w:val="00C7411C"/>
    <w:rsid w:val="00C7517E"/>
    <w:rsid w:val="00C8064A"/>
    <w:rsid w:val="00C8152B"/>
    <w:rsid w:val="00C86C11"/>
    <w:rsid w:val="00C9226C"/>
    <w:rsid w:val="00C9276F"/>
    <w:rsid w:val="00CB1F86"/>
    <w:rsid w:val="00CB3005"/>
    <w:rsid w:val="00CC7A85"/>
    <w:rsid w:val="00CE0B4F"/>
    <w:rsid w:val="00CE13B7"/>
    <w:rsid w:val="00CE1C2E"/>
    <w:rsid w:val="00D03548"/>
    <w:rsid w:val="00D21E2C"/>
    <w:rsid w:val="00D22F42"/>
    <w:rsid w:val="00D308FD"/>
    <w:rsid w:val="00D323AA"/>
    <w:rsid w:val="00D3627A"/>
    <w:rsid w:val="00D410A1"/>
    <w:rsid w:val="00D71262"/>
    <w:rsid w:val="00D741D3"/>
    <w:rsid w:val="00D7728D"/>
    <w:rsid w:val="00D77604"/>
    <w:rsid w:val="00D87405"/>
    <w:rsid w:val="00D8743A"/>
    <w:rsid w:val="00D93EF6"/>
    <w:rsid w:val="00DA173F"/>
    <w:rsid w:val="00DC3BFE"/>
    <w:rsid w:val="00DD2995"/>
    <w:rsid w:val="00DE3179"/>
    <w:rsid w:val="00DF1E8D"/>
    <w:rsid w:val="00E21AD1"/>
    <w:rsid w:val="00E334CB"/>
    <w:rsid w:val="00E33908"/>
    <w:rsid w:val="00E40000"/>
    <w:rsid w:val="00E55C29"/>
    <w:rsid w:val="00E572B6"/>
    <w:rsid w:val="00E630DB"/>
    <w:rsid w:val="00E6632C"/>
    <w:rsid w:val="00E72A59"/>
    <w:rsid w:val="00E73776"/>
    <w:rsid w:val="00E74E2C"/>
    <w:rsid w:val="00E801F4"/>
    <w:rsid w:val="00E81168"/>
    <w:rsid w:val="00E83E1A"/>
    <w:rsid w:val="00E92FF4"/>
    <w:rsid w:val="00E97124"/>
    <w:rsid w:val="00EB1577"/>
    <w:rsid w:val="00ED6EEC"/>
    <w:rsid w:val="00ED6F97"/>
    <w:rsid w:val="00ED78C0"/>
    <w:rsid w:val="00EE3DFD"/>
    <w:rsid w:val="00EF472B"/>
    <w:rsid w:val="00F030A2"/>
    <w:rsid w:val="00F1552C"/>
    <w:rsid w:val="00F15D96"/>
    <w:rsid w:val="00F3472B"/>
    <w:rsid w:val="00F36EA1"/>
    <w:rsid w:val="00F57929"/>
    <w:rsid w:val="00F62127"/>
    <w:rsid w:val="00F864F5"/>
    <w:rsid w:val="00FB257E"/>
    <w:rsid w:val="00FC3CEE"/>
    <w:rsid w:val="00FD4C67"/>
    <w:rsid w:val="00FE55A9"/>
    <w:rsid w:val="00FE74D2"/>
    <w:rsid w:val="00FF6E84"/>
    <w:rsid w:val="04326407"/>
    <w:rsid w:val="11495B38"/>
    <w:rsid w:val="16AE7618"/>
    <w:rsid w:val="19D23738"/>
    <w:rsid w:val="205729C5"/>
    <w:rsid w:val="271225F6"/>
    <w:rsid w:val="27370504"/>
    <w:rsid w:val="2A240970"/>
    <w:rsid w:val="2EAE6C4B"/>
    <w:rsid w:val="2F57478F"/>
    <w:rsid w:val="408C69A3"/>
    <w:rsid w:val="40F73D29"/>
    <w:rsid w:val="5C487FF6"/>
    <w:rsid w:val="5E3E79C9"/>
    <w:rsid w:val="68660FCD"/>
    <w:rsid w:val="6E435BA3"/>
    <w:rsid w:val="73E76850"/>
    <w:rsid w:val="77825709"/>
    <w:rsid w:val="78E57247"/>
    <w:rsid w:val="7C4A5239"/>
    <w:rsid w:val="7F037F8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qFormat/>
    <w:uiPriority w:val="0"/>
    <w:rPr>
      <w:color w:val="0563C1"/>
      <w:u w:val="single"/>
    </w:rPr>
  </w:style>
  <w:style w:type="character" w:customStyle="1" w:styleId="9">
    <w:name w:val="页眉 字符"/>
    <w:link w:val="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39</Pages>
  <Words>194</Words>
  <Characters>1112</Characters>
  <Lines>9</Lines>
  <Paragraphs>2</Paragraphs>
  <TotalTime>42</TotalTime>
  <ScaleCrop>false</ScaleCrop>
  <LinksUpToDate>false</LinksUpToDate>
  <CharactersWithSpaces>1304</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2013-12-27T14:46:00Z</dcterms:created>
  <dc:creator>微软用户</dc:creator>
  <cp:lastModifiedBy>廖朝正</cp:lastModifiedBy>
  <cp:lastPrinted>2020-09-13T00:46:00Z</cp:lastPrinted>
  <dcterms:modified xsi:type="dcterms:W3CDTF">2026-05-08T09:46:06Z</dcterms:modified>
  <dc:title>---------------------------------------------装--------------------------------- ---------  订 -----------------------------------------线----------------------------------------  </dc:title>
  <cp:revision>295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16EE44BEC4E34A37BC7C590AA388FF35_12</vt:lpwstr>
  </property>
</Properties>
</file>