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611010"/>
          <w:sz w:val="64"/>
        </w:rPr>
        <w:t>RESULT MANAGEMENT SYSTEM</w:t>
      </w:r>
    </w:p>
    <w:p>
      <w:pPr>
        <w:jc w:val="center"/>
      </w:pPr>
      <w:r>
        <w:rPr>
          <w:b/>
          <w:i w:val="0"/>
          <w:color w:val="B8860B"/>
          <w:sz w:val="40"/>
        </w:rPr>
        <w:t>Ruhuna EngRMS</w:t>
      </w:r>
    </w:p>
    <w:p/>
    <w:p>
      <w:pPr>
        <w:jc w:val="center"/>
      </w:pPr>
      <w:r>
        <w:rPr>
          <w:b w:val="0"/>
          <w:i w:val="0"/>
          <w:sz w:val="32"/>
        </w:rPr>
        <w:t>Full Project Documentation</w:t>
      </w:r>
    </w:p>
    <w:p>
      <w:pPr>
        <w:jc w:val="center"/>
      </w:pPr>
      <w:r>
        <w:rPr>
          <w:b w:val="0"/>
          <w:i w:val="0"/>
          <w:color w:val="555555"/>
          <w:sz w:val="24"/>
        </w:rPr>
        <w:t>Web Portals (Admin / Examiner / Student)  •  Backend API  •  Student Mobile App</w:t>
      </w:r>
    </w:p>
    <w:p/>
    <w:p>
      <w:pPr>
        <w:jc w:val="center"/>
      </w:pPr>
      <w:r>
        <w:rPr>
          <w:b w:val="0"/>
          <w:i w:val="0"/>
          <w:sz w:val="24"/>
        </w:rPr>
        <w:t>Faculty of Engineering, University of Ruhuna</w:t>
      </w:r>
    </w:p>
    <w:p>
      <w:pPr>
        <w:jc w:val="center"/>
      </w:pPr>
      <w:r>
        <w:rPr>
          <w:b w:val="0"/>
          <w:i w:val="0"/>
          <w:color w:val="555555"/>
          <w:sz w:val="22"/>
        </w:rPr>
        <w:t>Date: 2026-09-30</w:t>
      </w:r>
    </w:p>
    <w:p>
      <w:r>
        <w:br w:type="page"/>
      </w:r>
    </w:p>
    <w:p>
      <w:pPr>
        <w:pStyle w:val="Heading1"/>
      </w:pPr>
      <w:r>
        <w:t>1. Introduction</w:t>
      </w:r>
    </w:p>
    <w:p>
      <w:pPr>
        <w:pStyle w:val="Heading2"/>
      </w:pPr>
      <w:r>
        <w:t>1.1 Purpose</w:t>
      </w:r>
    </w:p>
    <w:p>
      <w:r>
        <w:rPr>
          <w:b w:val="0"/>
          <w:i w:val="0"/>
          <w:sz w:val="22"/>
        </w:rPr>
        <w:t>The Result Management System (EngRMS) is a full-stack application that digitises the academic result processing lifecycle of an engineering faculty. It covers student batch registration, module management, CSV-based result uploads by examiners, automated GPA (SGPA/CGPA) calculation, result publishing, and student notifications — exposed through an Admin/Examiner web portal, a Student web portal, and a Student mobile application.</w:t>
      </w:r>
    </w:p>
    <w:p>
      <w:pPr>
        <w:pStyle w:val="Heading2"/>
      </w:pPr>
      <w:r>
        <w:t>1.2 Users and Roles</w:t>
      </w:r>
    </w:p>
    <w:tbl>
      <w:tblPr>
        <w:tblStyle w:val="LightGrid-Accent2"/>
        <w:tblW w:type="auto" w:w="0"/>
        <w:jc w:val="center"/>
        <w:tblLook w:firstColumn="1" w:firstRow="1" w:lastColumn="0" w:lastRow="0" w:noHBand="0" w:noVBand="1" w:val="04A0"/>
      </w:tblPr>
      <w:tblGrid>
        <w:gridCol w:w="2880"/>
        <w:gridCol w:w="2880"/>
        <w:gridCol w:w="2880"/>
      </w:tblGrid>
      <w:tr>
        <w:tc>
          <w:tcPr>
            <w:tcW w:type="dxa" w:w="1728"/>
          </w:tcPr>
          <w:p>
            <w:r/>
            <w:r>
              <w:rPr>
                <w:b/>
                <w:sz w:val="20"/>
              </w:rPr>
              <w:t>Role</w:t>
            </w:r>
          </w:p>
        </w:tc>
        <w:tc>
          <w:tcPr>
            <w:tcW w:type="dxa" w:w="4896"/>
          </w:tcPr>
          <w:p>
            <w:r/>
            <w:r>
              <w:rPr>
                <w:b/>
                <w:sz w:val="20"/>
              </w:rPr>
              <w:t>Description</w:t>
            </w:r>
          </w:p>
        </w:tc>
        <w:tc>
          <w:tcPr>
            <w:tcW w:type="dxa" w:w="3168"/>
          </w:tcPr>
          <w:p>
            <w:r/>
            <w:r>
              <w:rPr>
                <w:b/>
                <w:sz w:val="20"/>
              </w:rPr>
              <w:t>Client Application</w:t>
            </w:r>
          </w:p>
        </w:tc>
      </w:tr>
      <w:tr>
        <w:tc>
          <w:tcPr>
            <w:tcW w:type="dxa" w:w="1728"/>
          </w:tcPr>
          <w:p>
            <w:r/>
            <w:r>
              <w:rPr>
                <w:sz w:val="20"/>
              </w:rPr>
              <w:t>Administrator</w:t>
            </w:r>
          </w:p>
        </w:tc>
        <w:tc>
          <w:tcPr>
            <w:tcW w:type="dxa" w:w="4896"/>
          </w:tcPr>
          <w:p>
            <w:r/>
            <w:r>
              <w:rPr>
                <w:sz w:val="20"/>
              </w:rPr>
              <w:t>Manages batches, departments, modules, examiners; uploads and publishes results.</w:t>
            </w:r>
          </w:p>
        </w:tc>
        <w:tc>
          <w:tcPr>
            <w:tcW w:type="dxa" w:w="3168"/>
          </w:tcPr>
          <w:p>
            <w:r/>
            <w:r>
              <w:rPr>
                <w:sz w:val="20"/>
              </w:rPr>
              <w:t>Admin Web Portal (frontend/)</w:t>
            </w:r>
          </w:p>
        </w:tc>
      </w:tr>
      <w:tr>
        <w:tc>
          <w:tcPr>
            <w:tcW w:type="dxa" w:w="1728"/>
          </w:tcPr>
          <w:p>
            <w:r/>
            <w:r>
              <w:rPr>
                <w:sz w:val="20"/>
              </w:rPr>
              <w:t>Examiner</w:t>
            </w:r>
          </w:p>
        </w:tc>
        <w:tc>
          <w:tcPr>
            <w:tcW w:type="dxa" w:w="4896"/>
          </w:tcPr>
          <w:p>
            <w:r/>
            <w:r>
              <w:rPr>
                <w:sz w:val="20"/>
              </w:rPr>
              <w:t>Uploads results via CSV for assigned department modules; views own schedules.</w:t>
            </w:r>
          </w:p>
        </w:tc>
        <w:tc>
          <w:tcPr>
            <w:tcW w:type="dxa" w:w="3168"/>
          </w:tcPr>
          <w:p>
            <w:r/>
            <w:r>
              <w:rPr>
                <w:sz w:val="20"/>
              </w:rPr>
              <w:t>Examiner area of the Admin Web Portal</w:t>
            </w:r>
          </w:p>
        </w:tc>
      </w:tr>
      <w:tr>
        <w:tc>
          <w:tcPr>
            <w:tcW w:type="dxa" w:w="1728"/>
          </w:tcPr>
          <w:p>
            <w:r/>
            <w:r>
              <w:rPr>
                <w:sz w:val="20"/>
              </w:rPr>
              <w:t>Student</w:t>
            </w:r>
          </w:p>
        </w:tc>
        <w:tc>
          <w:tcPr>
            <w:tcW w:type="dxa" w:w="4896"/>
          </w:tcPr>
          <w:p>
            <w:r/>
            <w:r>
              <w:rPr>
                <w:sz w:val="20"/>
              </w:rPr>
              <w:t>Logs in to view published results, SGPA/CGPA, exam timetable and notifications; changes password on first login.</w:t>
            </w:r>
          </w:p>
        </w:tc>
        <w:tc>
          <w:tcPr>
            <w:tcW w:type="dxa" w:w="3168"/>
          </w:tcPr>
          <w:p>
            <w:r/>
            <w:r>
              <w:rPr>
                <w:sz w:val="20"/>
              </w:rPr>
              <w:t>Student Web Portal (student-frontend/) and Student Mobile App (student-mobile/)</w:t>
            </w:r>
          </w:p>
        </w:tc>
      </w:tr>
    </w:tbl>
    <w:p/>
    <w:p>
      <w:pPr>
        <w:pStyle w:val="Heading2"/>
      </w:pPr>
      <w:r>
        <w:t>1.3 Repository Layout</w:t>
      </w:r>
    </w:p>
    <w:p>
      <w:pPr>
        <w:spacing w:after="0" w:before="0"/>
      </w:pPr>
      <w:r>
        <w:rPr>
          <w:rFonts w:ascii="Consolas" w:hAnsi="Consolas"/>
          <w:color w:val="303030"/>
          <w:sz w:val="18"/>
        </w:rPr>
        <w:t>ResultManagementSystem/</w:t>
      </w:r>
    </w:p>
    <w:p>
      <w:pPr>
        <w:spacing w:after="0" w:before="0"/>
      </w:pPr>
      <w:r>
        <w:rPr>
          <w:rFonts w:ascii="Consolas" w:hAnsi="Consolas"/>
          <w:color w:val="303030"/>
          <w:sz w:val="18"/>
        </w:rPr>
        <w:t xml:space="preserve">  backend/            Fastify API server (Node.js)</w:t>
      </w:r>
    </w:p>
    <w:p>
      <w:pPr>
        <w:spacing w:after="0" w:before="0"/>
      </w:pPr>
      <w:r>
        <w:rPr>
          <w:rFonts w:ascii="Consolas" w:hAnsi="Consolas"/>
          <w:color w:val="303030"/>
          <w:sz w:val="18"/>
        </w:rPr>
        <w:t xml:space="preserve">  frontend/           Admin &amp; Examiner web portal (React + Vite)</w:t>
      </w:r>
    </w:p>
    <w:p>
      <w:pPr>
        <w:spacing w:after="0" w:before="0"/>
      </w:pPr>
      <w:r>
        <w:rPr>
          <w:rFonts w:ascii="Consolas" w:hAnsi="Consolas"/>
          <w:color w:val="303030"/>
          <w:sz w:val="18"/>
        </w:rPr>
        <w:t xml:space="preserve">  student-frontend/   Student web portal (React + Vite)</w:t>
      </w:r>
    </w:p>
    <w:p>
      <w:pPr>
        <w:spacing w:after="0" w:before="0"/>
      </w:pPr>
      <w:r>
        <w:rPr>
          <w:rFonts w:ascii="Consolas" w:hAnsi="Consolas"/>
          <w:color w:val="303030"/>
          <w:sz w:val="18"/>
        </w:rPr>
        <w:t xml:space="preserve">  student-mobile/     Student mobile app (React Native + Expo)</w:t>
      </w:r>
    </w:p>
    <w:p>
      <w:pPr>
        <w:spacing w:after="0" w:before="0"/>
      </w:pPr>
      <w:r>
        <w:rPr>
          <w:rFonts w:ascii="Consolas" w:hAnsi="Consolas"/>
          <w:color w:val="303030"/>
          <w:sz w:val="18"/>
        </w:rPr>
        <w:t xml:space="preserve">  docs/               Documentation (incl. this document and Progress.md)</w:t>
      </w:r>
    </w:p>
    <w:p>
      <w:pPr>
        <w:spacing w:after="0" w:before="0"/>
      </w:pPr>
      <w:r>
        <w:rPr>
          <w:rFonts w:ascii="Consolas" w:hAnsi="Consolas"/>
          <w:color w:val="303030"/>
          <w:sz w:val="18"/>
        </w:rPr>
        <w:t xml:space="preserve">  docker-compose.yml  One-command full-stack deployment</w:t>
      </w:r>
    </w:p>
    <w:p/>
    <w:p>
      <w:pPr>
        <w:pStyle w:val="Heading1"/>
      </w:pPr>
      <w:r>
        <w:t>2. Technology Stack</w:t>
      </w:r>
    </w:p>
    <w:p>
      <w:pPr>
        <w:pStyle w:val="Heading2"/>
      </w:pPr>
      <w:r>
        <w:t>2.1 Backend</w:t>
      </w:r>
    </w:p>
    <w:tbl>
      <w:tblPr>
        <w:tblStyle w:val="LightGrid-Accent2"/>
        <w:tblW w:type="auto" w:w="0"/>
        <w:jc w:val="center"/>
        <w:tblLook w:firstColumn="1" w:firstRow="1" w:lastColumn="0" w:lastRow="0" w:noHBand="0" w:noVBand="1" w:val="04A0"/>
      </w:tblPr>
      <w:tblGrid>
        <w:gridCol w:w="4320"/>
        <w:gridCol w:w="4320"/>
      </w:tblGrid>
      <w:tr>
        <w:tc>
          <w:tcPr>
            <w:tcW w:type="dxa" w:w="3312"/>
          </w:tcPr>
          <w:p>
            <w:r/>
            <w:r>
              <w:rPr>
                <w:b/>
                <w:sz w:val="20"/>
              </w:rPr>
              <w:t>Technology</w:t>
            </w:r>
          </w:p>
        </w:tc>
        <w:tc>
          <w:tcPr>
            <w:tcW w:type="dxa" w:w="6480"/>
          </w:tcPr>
          <w:p>
            <w:r/>
            <w:r>
              <w:rPr>
                <w:b/>
                <w:sz w:val="20"/>
              </w:rPr>
              <w:t>Purpose</w:t>
            </w:r>
          </w:p>
        </w:tc>
      </w:tr>
      <w:tr>
        <w:tc>
          <w:tcPr>
            <w:tcW w:type="dxa" w:w="3312"/>
          </w:tcPr>
          <w:p>
            <w:r/>
            <w:r>
              <w:rPr>
                <w:sz w:val="20"/>
              </w:rPr>
              <w:t>Node.js + Fastify 5</w:t>
            </w:r>
          </w:p>
        </w:tc>
        <w:tc>
          <w:tcPr>
            <w:tcW w:type="dxa" w:w="6480"/>
          </w:tcPr>
          <w:p>
            <w:r/>
            <w:r>
              <w:rPr>
                <w:sz w:val="20"/>
              </w:rPr>
              <w:t>High-performance API server</w:t>
            </w:r>
          </w:p>
        </w:tc>
      </w:tr>
      <w:tr>
        <w:tc>
          <w:tcPr>
            <w:tcW w:type="dxa" w:w="3312"/>
          </w:tcPr>
          <w:p>
            <w:r/>
            <w:r>
              <w:rPr>
                <w:sz w:val="20"/>
              </w:rPr>
              <w:t>@fastify/jwt</w:t>
            </w:r>
          </w:p>
        </w:tc>
        <w:tc>
          <w:tcPr>
            <w:tcW w:type="dxa" w:w="6480"/>
          </w:tcPr>
          <w:p>
            <w:r/>
            <w:r>
              <w:rPr>
                <w:sz w:val="20"/>
              </w:rPr>
              <w:t>Stateless JWT authentication</w:t>
            </w:r>
          </w:p>
        </w:tc>
      </w:tr>
      <w:tr>
        <w:tc>
          <w:tcPr>
            <w:tcW w:type="dxa" w:w="3312"/>
          </w:tcPr>
          <w:p>
            <w:r/>
            <w:r>
              <w:rPr>
                <w:sz w:val="20"/>
              </w:rPr>
              <w:t>@fastify/cors / @fastify/multipart</w:t>
            </w:r>
          </w:p>
        </w:tc>
        <w:tc>
          <w:tcPr>
            <w:tcW w:type="dxa" w:w="6480"/>
          </w:tcPr>
          <w:p>
            <w:r/>
            <w:r>
              <w:rPr>
                <w:sz w:val="20"/>
              </w:rPr>
              <w:t>Cross-origin support and CSV file uploads</w:t>
            </w:r>
          </w:p>
        </w:tc>
      </w:tr>
      <w:tr>
        <w:tc>
          <w:tcPr>
            <w:tcW w:type="dxa" w:w="3312"/>
          </w:tcPr>
          <w:p>
            <w:r/>
            <w:r>
              <w:rPr>
                <w:sz w:val="20"/>
              </w:rPr>
              <w:t>bcrypt</w:t>
            </w:r>
          </w:p>
        </w:tc>
        <w:tc>
          <w:tcPr>
            <w:tcW w:type="dxa" w:w="6480"/>
          </w:tcPr>
          <w:p>
            <w:r/>
            <w:r>
              <w:rPr>
                <w:sz w:val="20"/>
              </w:rPr>
              <w:t>Password hashing</w:t>
            </w:r>
          </w:p>
        </w:tc>
      </w:tr>
      <w:tr>
        <w:tc>
          <w:tcPr>
            <w:tcW w:type="dxa" w:w="3312"/>
          </w:tcPr>
          <w:p>
            <w:r/>
            <w:r>
              <w:rPr>
                <w:sz w:val="20"/>
              </w:rPr>
              <w:t>csv-parser</w:t>
            </w:r>
          </w:p>
        </w:tc>
        <w:tc>
          <w:tcPr>
            <w:tcW w:type="dxa" w:w="6480"/>
          </w:tcPr>
          <w:p>
            <w:r/>
            <w:r>
              <w:rPr>
                <w:sz w:val="20"/>
              </w:rPr>
              <w:t>Streaming CSV parsing for bulk result uploads</w:t>
            </w:r>
          </w:p>
        </w:tc>
      </w:tr>
      <w:tr>
        <w:tc>
          <w:tcPr>
            <w:tcW w:type="dxa" w:w="3312"/>
          </w:tcPr>
          <w:p>
            <w:r/>
            <w:r>
              <w:rPr>
                <w:sz w:val="20"/>
              </w:rPr>
              <w:t>Prisma ORM 5</w:t>
            </w:r>
          </w:p>
        </w:tc>
        <w:tc>
          <w:tcPr>
            <w:tcW w:type="dxa" w:w="6480"/>
          </w:tcPr>
          <w:p>
            <w:r/>
            <w:r>
              <w:rPr>
                <w:sz w:val="20"/>
              </w:rPr>
              <w:t>Type-safe database access and migrations</w:t>
            </w:r>
          </w:p>
        </w:tc>
      </w:tr>
      <w:tr>
        <w:tc>
          <w:tcPr>
            <w:tcW w:type="dxa" w:w="3312"/>
          </w:tcPr>
          <w:p>
            <w:r/>
            <w:r>
              <w:rPr>
                <w:sz w:val="20"/>
              </w:rPr>
              <w:t>PostgreSQL (Neon serverless)</w:t>
            </w:r>
          </w:p>
        </w:tc>
        <w:tc>
          <w:tcPr>
            <w:tcW w:type="dxa" w:w="6480"/>
          </w:tcPr>
          <w:p>
            <w:r/>
            <w:r>
              <w:rPr>
                <w:sz w:val="20"/>
              </w:rPr>
              <w:t>Relational data store</w:t>
            </w:r>
          </w:p>
        </w:tc>
      </w:tr>
    </w:tbl>
    <w:p/>
    <w:p>
      <w:pPr>
        <w:pStyle w:val="Heading2"/>
      </w:pPr>
      <w:r>
        <w:t>2.2 Web Portals (Admin / Student)</w:t>
      </w:r>
    </w:p>
    <w:tbl>
      <w:tblPr>
        <w:tblStyle w:val="LightGrid-Accent2"/>
        <w:tblW w:type="auto" w:w="0"/>
        <w:jc w:val="center"/>
        <w:tblLook w:firstColumn="1" w:firstRow="1" w:lastColumn="0" w:lastRow="0" w:noHBand="0" w:noVBand="1" w:val="04A0"/>
      </w:tblPr>
      <w:tblGrid>
        <w:gridCol w:w="4320"/>
        <w:gridCol w:w="4320"/>
      </w:tblGrid>
      <w:tr>
        <w:tc>
          <w:tcPr>
            <w:tcW w:type="dxa" w:w="3312"/>
          </w:tcPr>
          <w:p>
            <w:r/>
            <w:r>
              <w:rPr>
                <w:b/>
                <w:sz w:val="20"/>
              </w:rPr>
              <w:t>Technology</w:t>
            </w:r>
          </w:p>
        </w:tc>
        <w:tc>
          <w:tcPr>
            <w:tcW w:type="dxa" w:w="6480"/>
          </w:tcPr>
          <w:p>
            <w:r/>
            <w:r>
              <w:rPr>
                <w:b/>
                <w:sz w:val="20"/>
              </w:rPr>
              <w:t>Purpose</w:t>
            </w:r>
          </w:p>
        </w:tc>
      </w:tr>
      <w:tr>
        <w:tc>
          <w:tcPr>
            <w:tcW w:type="dxa" w:w="3312"/>
          </w:tcPr>
          <w:p>
            <w:r/>
            <w:r>
              <w:rPr>
                <w:sz w:val="20"/>
              </w:rPr>
              <w:t>React 19</w:t>
            </w:r>
          </w:p>
        </w:tc>
        <w:tc>
          <w:tcPr>
            <w:tcW w:type="dxa" w:w="6480"/>
          </w:tcPr>
          <w:p>
            <w:r/>
            <w:r>
              <w:rPr>
                <w:sz w:val="20"/>
              </w:rPr>
              <w:t>UI library</w:t>
            </w:r>
          </w:p>
        </w:tc>
      </w:tr>
      <w:tr>
        <w:tc>
          <w:tcPr>
            <w:tcW w:type="dxa" w:w="3312"/>
          </w:tcPr>
          <w:p>
            <w:r/>
            <w:r>
              <w:rPr>
                <w:sz w:val="20"/>
              </w:rPr>
              <w:t>Vite 8</w:t>
            </w:r>
          </w:p>
        </w:tc>
        <w:tc>
          <w:tcPr>
            <w:tcW w:type="dxa" w:w="6480"/>
          </w:tcPr>
          <w:p>
            <w:r/>
            <w:r>
              <w:rPr>
                <w:sz w:val="20"/>
              </w:rPr>
              <w:t>Build tool and dev server</w:t>
            </w:r>
          </w:p>
        </w:tc>
      </w:tr>
      <w:tr>
        <w:tc>
          <w:tcPr>
            <w:tcW w:type="dxa" w:w="3312"/>
          </w:tcPr>
          <w:p>
            <w:r/>
            <w:r>
              <w:rPr>
                <w:sz w:val="20"/>
              </w:rPr>
              <w:t>Tailwind CSS v4</w:t>
            </w:r>
          </w:p>
        </w:tc>
        <w:tc>
          <w:tcPr>
            <w:tcW w:type="dxa" w:w="6480"/>
          </w:tcPr>
          <w:p>
            <w:r/>
            <w:r>
              <w:rPr>
                <w:sz w:val="20"/>
              </w:rPr>
              <w:t>Utility-first styling</w:t>
            </w:r>
          </w:p>
        </w:tc>
      </w:tr>
      <w:tr>
        <w:tc>
          <w:tcPr>
            <w:tcW w:type="dxa" w:w="3312"/>
          </w:tcPr>
          <w:p>
            <w:r/>
            <w:r>
              <w:rPr>
                <w:sz w:val="20"/>
              </w:rPr>
              <w:t>shadcn/ui + Base UI</w:t>
            </w:r>
          </w:p>
        </w:tc>
        <w:tc>
          <w:tcPr>
            <w:tcW w:type="dxa" w:w="6480"/>
          </w:tcPr>
          <w:p>
            <w:r/>
            <w:r>
              <w:rPr>
                <w:sz w:val="20"/>
              </w:rPr>
              <w:t>Accessible component primitives</w:t>
            </w:r>
          </w:p>
        </w:tc>
      </w:tr>
      <w:tr>
        <w:tc>
          <w:tcPr>
            <w:tcW w:type="dxa" w:w="3312"/>
          </w:tcPr>
          <w:p>
            <w:r/>
            <w:r>
              <w:rPr>
                <w:sz w:val="20"/>
              </w:rPr>
              <w:t>React Router 7</w:t>
            </w:r>
          </w:p>
        </w:tc>
        <w:tc>
          <w:tcPr>
            <w:tcW w:type="dxa" w:w="6480"/>
          </w:tcPr>
          <w:p>
            <w:r/>
            <w:r>
              <w:rPr>
                <w:sz w:val="20"/>
              </w:rPr>
              <w:t>Client-side routing</w:t>
            </w:r>
          </w:p>
        </w:tc>
      </w:tr>
      <w:tr>
        <w:tc>
          <w:tcPr>
            <w:tcW w:type="dxa" w:w="3312"/>
          </w:tcPr>
          <w:p>
            <w:r/>
            <w:r>
              <w:rPr>
                <w:sz w:val="20"/>
              </w:rPr>
              <w:t>Axios</w:t>
            </w:r>
          </w:p>
        </w:tc>
        <w:tc>
          <w:tcPr>
            <w:tcW w:type="dxa" w:w="6480"/>
          </w:tcPr>
          <w:p>
            <w:r/>
            <w:r>
              <w:rPr>
                <w:sz w:val="20"/>
              </w:rPr>
              <w:t>HTTP client</w:t>
            </w:r>
          </w:p>
        </w:tc>
      </w:tr>
      <w:tr>
        <w:tc>
          <w:tcPr>
            <w:tcW w:type="dxa" w:w="3312"/>
          </w:tcPr>
          <w:p>
            <w:r/>
            <w:r>
              <w:rPr>
                <w:sz w:val="20"/>
              </w:rPr>
              <w:t>Lucide React</w:t>
            </w:r>
          </w:p>
        </w:tc>
        <w:tc>
          <w:tcPr>
            <w:tcW w:type="dxa" w:w="6480"/>
          </w:tcPr>
          <w:p>
            <w:r/>
            <w:r>
              <w:rPr>
                <w:sz w:val="20"/>
              </w:rPr>
              <w:t>Icon set</w:t>
            </w:r>
          </w:p>
        </w:tc>
      </w:tr>
      <w:tr>
        <w:tc>
          <w:tcPr>
            <w:tcW w:type="dxa" w:w="3312"/>
          </w:tcPr>
          <w:p>
            <w:r/>
            <w:r>
              <w:rPr>
                <w:sz w:val="20"/>
              </w:rPr>
              <w:t>Geist Variable font</w:t>
            </w:r>
          </w:p>
        </w:tc>
        <w:tc>
          <w:tcPr>
            <w:tcW w:type="dxa" w:w="6480"/>
          </w:tcPr>
          <w:p>
            <w:r/>
            <w:r>
              <w:rPr>
                <w:sz w:val="20"/>
              </w:rPr>
              <w:t>Typeface (both portals)</w:t>
            </w:r>
          </w:p>
        </w:tc>
      </w:tr>
    </w:tbl>
    <w:p/>
    <w:p>
      <w:pPr>
        <w:pStyle w:val="Heading2"/>
      </w:pPr>
      <w:r>
        <w:t>2.3 Student Mobile App</w:t>
      </w:r>
    </w:p>
    <w:tbl>
      <w:tblPr>
        <w:tblStyle w:val="LightGrid-Accent2"/>
        <w:tblW w:type="auto" w:w="0"/>
        <w:jc w:val="center"/>
        <w:tblLook w:firstColumn="1" w:firstRow="1" w:lastColumn="0" w:lastRow="0" w:noHBand="0" w:noVBand="1" w:val="04A0"/>
      </w:tblPr>
      <w:tblGrid>
        <w:gridCol w:w="4320"/>
        <w:gridCol w:w="4320"/>
      </w:tblGrid>
      <w:tr>
        <w:tc>
          <w:tcPr>
            <w:tcW w:type="dxa" w:w="3312"/>
          </w:tcPr>
          <w:p>
            <w:r/>
            <w:r>
              <w:rPr>
                <w:b/>
                <w:sz w:val="20"/>
              </w:rPr>
              <w:t>Technology</w:t>
            </w:r>
          </w:p>
        </w:tc>
        <w:tc>
          <w:tcPr>
            <w:tcW w:type="dxa" w:w="6480"/>
          </w:tcPr>
          <w:p>
            <w:r/>
            <w:r>
              <w:rPr>
                <w:b/>
                <w:sz w:val="20"/>
              </w:rPr>
              <w:t>Purpose</w:t>
            </w:r>
          </w:p>
        </w:tc>
      </w:tr>
      <w:tr>
        <w:tc>
          <w:tcPr>
            <w:tcW w:type="dxa" w:w="3312"/>
          </w:tcPr>
          <w:p>
            <w:r/>
            <w:r>
              <w:rPr>
                <w:sz w:val="20"/>
              </w:rPr>
              <w:t>React Native 0.86 (Expo SDK 57)</w:t>
            </w:r>
          </w:p>
        </w:tc>
        <w:tc>
          <w:tcPr>
            <w:tcW w:type="dxa" w:w="6480"/>
          </w:tcPr>
          <w:p>
            <w:r/>
            <w:r>
              <w:rPr>
                <w:sz w:val="20"/>
              </w:rPr>
              <w:t>Cross-platform native runtime</w:t>
            </w:r>
          </w:p>
        </w:tc>
      </w:tr>
      <w:tr>
        <w:tc>
          <w:tcPr>
            <w:tcW w:type="dxa" w:w="3312"/>
          </w:tcPr>
          <w:p>
            <w:r/>
            <w:r>
              <w:rPr>
                <w:sz w:val="20"/>
              </w:rPr>
              <w:t>React Navigation (native-stack)</w:t>
            </w:r>
          </w:p>
        </w:tc>
        <w:tc>
          <w:tcPr>
            <w:tcW w:type="dxa" w:w="6480"/>
          </w:tcPr>
          <w:p>
            <w:r/>
            <w:r>
              <w:rPr>
                <w:sz w:val="20"/>
              </w:rPr>
              <w:t>Screen navigation</w:t>
            </w:r>
          </w:p>
        </w:tc>
      </w:tr>
      <w:tr>
        <w:tc>
          <w:tcPr>
            <w:tcW w:type="dxa" w:w="3312"/>
          </w:tcPr>
          <w:p>
            <w:r/>
            <w:r>
              <w:rPr>
                <w:sz w:val="20"/>
              </w:rPr>
              <w:t>AsyncStorage</w:t>
            </w:r>
          </w:p>
        </w:tc>
        <w:tc>
          <w:tcPr>
            <w:tcW w:type="dxa" w:w="6480"/>
          </w:tcPr>
          <w:p>
            <w:r/>
            <w:r>
              <w:rPr>
                <w:sz w:val="20"/>
              </w:rPr>
              <w:t>JWT token persistence (key: studentToken)</w:t>
            </w:r>
          </w:p>
        </w:tc>
      </w:tr>
      <w:tr>
        <w:tc>
          <w:tcPr>
            <w:tcW w:type="dxa" w:w="3312"/>
          </w:tcPr>
          <w:p>
            <w:r/>
            <w:r>
              <w:rPr>
                <w:sz w:val="20"/>
              </w:rPr>
              <w:t>Axios</w:t>
            </w:r>
          </w:p>
        </w:tc>
        <w:tc>
          <w:tcPr>
            <w:tcW w:type="dxa" w:w="6480"/>
          </w:tcPr>
          <w:p>
            <w:r/>
            <w:r>
              <w:rPr>
                <w:sz w:val="20"/>
              </w:rPr>
              <w:t>HTTP client (same API contract as web)</w:t>
            </w:r>
          </w:p>
        </w:tc>
      </w:tr>
      <w:tr>
        <w:tc>
          <w:tcPr>
            <w:tcW w:type="dxa" w:w="3312"/>
          </w:tcPr>
          <w:p>
            <w:r/>
            <w:r>
              <w:rPr>
                <w:sz w:val="20"/>
              </w:rPr>
              <w:t>lucide-react-native</w:t>
            </w:r>
          </w:p>
        </w:tc>
        <w:tc>
          <w:tcPr>
            <w:tcW w:type="dxa" w:w="6480"/>
          </w:tcPr>
          <w:p>
            <w:r/>
            <w:r>
              <w:rPr>
                <w:sz w:val="20"/>
              </w:rPr>
              <w:t>Same Lucide icon set as the web portal</w:t>
            </w:r>
          </w:p>
        </w:tc>
      </w:tr>
      <w:tr>
        <w:tc>
          <w:tcPr>
            <w:tcW w:type="dxa" w:w="3312"/>
          </w:tcPr>
          <w:p>
            <w:r/>
            <w:r>
              <w:rPr>
                <w:sz w:val="20"/>
              </w:rPr>
              <w:t>Geist Variable (bundled TTF)</w:t>
            </w:r>
          </w:p>
        </w:tc>
        <w:tc>
          <w:tcPr>
            <w:tcW w:type="dxa" w:w="6480"/>
          </w:tcPr>
          <w:p>
            <w:r/>
            <w:r>
              <w:rPr>
                <w:sz w:val="20"/>
              </w:rPr>
              <w:t>Same typeface as the web portal</w:t>
            </w:r>
          </w:p>
        </w:tc>
      </w:tr>
      <w:tr>
        <w:tc>
          <w:tcPr>
            <w:tcW w:type="dxa" w:w="3312"/>
          </w:tcPr>
          <w:p>
            <w:r/>
            <w:r>
              <w:rPr>
                <w:sz w:val="20"/>
              </w:rPr>
              <w:t>expo-font / expo-splash-screen</w:t>
            </w:r>
          </w:p>
        </w:tc>
        <w:tc>
          <w:tcPr>
            <w:tcW w:type="dxa" w:w="6480"/>
          </w:tcPr>
          <w:p>
            <w:r/>
            <w:r>
              <w:rPr>
                <w:sz w:val="20"/>
              </w:rPr>
              <w:t>Font loading and splash control</w:t>
            </w:r>
          </w:p>
        </w:tc>
      </w:tr>
    </w:tbl>
    <w:p/>
    <w:p>
      <w:pPr>
        <w:pStyle w:val="Heading1"/>
      </w:pPr>
      <w:r>
        <w:t>3. System Architecture</w:t>
      </w:r>
    </w:p>
    <w:p>
      <w:r>
        <w:rPr>
          <w:b w:val="0"/>
          <w:i w:val="0"/>
          <w:sz w:val="22"/>
        </w:rPr>
        <w:t>The system follows a three-tier client-server architecture: multiple presentation clients (admin portal, student portal, mobile app) communicate over HTTPS/JSON with a single Fastify API, which persists data in PostgreSQL via Prisma.</w:t>
      </w:r>
    </w:p>
    <w:p>
      <w:pPr>
        <w:spacing w:after="0" w:before="0"/>
      </w:pPr>
      <w:r>
        <w:rPr>
          <w:rFonts w:ascii="Consolas" w:hAnsi="Consolas"/>
          <w:color w:val="303030"/>
          <w:sz w:val="18"/>
        </w:rPr>
        <w:t xml:space="preserve">  Admin Web Portal  ─┐</w:t>
      </w:r>
    </w:p>
    <w:p>
      <w:pPr>
        <w:spacing w:after="0" w:before="0"/>
      </w:pPr>
      <w:r>
        <w:rPr>
          <w:rFonts w:ascii="Consolas" w:hAnsi="Consolas"/>
          <w:color w:val="303030"/>
          <w:sz w:val="18"/>
        </w:rPr>
        <w:t xml:space="preserve">                      ├─►  Fastify API  ──►  Prisma  ──►  PostgreSQL (Neon)</w:t>
      </w:r>
    </w:p>
    <w:p>
      <w:pPr>
        <w:spacing w:after="0" w:before="0"/>
      </w:pPr>
      <w:r>
        <w:rPr>
          <w:rFonts w:ascii="Consolas" w:hAnsi="Consolas"/>
          <w:color w:val="303030"/>
          <w:sz w:val="18"/>
        </w:rPr>
        <w:t xml:space="preserve">  Student Web ────────┤       (JWT auth,</w:t>
      </w:r>
    </w:p>
    <w:p>
      <w:pPr>
        <w:spacing w:after="0" w:before="0"/>
      </w:pPr>
      <w:r>
        <w:rPr>
          <w:rFonts w:ascii="Consolas" w:hAnsi="Consolas"/>
          <w:color w:val="303030"/>
          <w:sz w:val="18"/>
        </w:rPr>
        <w:t xml:space="preserve">                      │        role guards)</w:t>
      </w:r>
    </w:p>
    <w:p>
      <w:pPr>
        <w:spacing w:after="0" w:before="0"/>
      </w:pPr>
      <w:r>
        <w:rPr>
          <w:rFonts w:ascii="Consolas" w:hAnsi="Consolas"/>
          <w:color w:val="303030"/>
          <w:sz w:val="18"/>
        </w:rPr>
        <w:t xml:space="preserve">  Student Mobile ─────┘</w:t>
      </w:r>
    </w:p>
    <w:p/>
    <w:p>
      <w:pPr>
        <w:pStyle w:val="Heading2"/>
      </w:pPr>
      <w:r>
        <w:t>3.1 Request Authentication Flow</w:t>
      </w:r>
    </w:p>
    <w:p>
      <w:pPr>
        <w:pStyle w:val="ListNumber"/>
      </w:pPr>
      <w:r>
        <w:t>Client POSTs credentials to /api/auth/{role}/login.</w:t>
      </w:r>
    </w:p>
    <w:p>
      <w:pPr>
        <w:pStyle w:val="ListNumber"/>
      </w:pPr>
      <w:r>
        <w:t>Server verifies the bcrypt hash and signs a JWT containing id, role and (for students) regNo and isFirstLogin.</w:t>
      </w:r>
    </w:p>
    <w:p>
      <w:pPr>
        <w:pStyle w:val="ListNumber"/>
      </w:pPr>
      <w:r>
        <w:t>Clients attach the JWT as an Authorization: Bearer &lt;token&gt; header.</w:t>
      </w:r>
    </w:p>
    <w:p>
      <w:pPr>
        <w:pStyle w:val="ListNumber"/>
      </w:pPr>
      <w:r>
        <w:t>Protected route groups (/api/admin, /api/student, /api/examiner) run an onRequest JWT verification hook and check the role claim.</w:t>
      </w:r>
    </w:p>
    <w:p>
      <w:pPr>
        <w:pStyle w:val="Heading1"/>
      </w:pPr>
      <w:r>
        <w:t>4. Database Design</w:t>
      </w:r>
    </w:p>
    <w:p>
      <w:r>
        <w:rPr>
          <w:b w:val="0"/>
          <w:i w:val="0"/>
          <w:sz w:val="22"/>
        </w:rPr>
        <w:t>The Prisma schema defines ten relational models. Key relationships: a Department owns Modules, Students and Results; a Batch contains many Students; a Student earns Results; a Module has ExamSchedules and Results; an Examiner is assigned ExamSchedules.</w:t>
      </w:r>
    </w:p>
    <w:tbl>
      <w:tblPr>
        <w:tblStyle w:val="LightGrid-Accent2"/>
        <w:tblW w:type="auto" w:w="0"/>
        <w:jc w:val="center"/>
        <w:tblLook w:firstColumn="1" w:firstRow="1" w:lastColumn="0" w:lastRow="0" w:noHBand="0" w:noVBand="1" w:val="04A0"/>
      </w:tblPr>
      <w:tblGrid>
        <w:gridCol w:w="2880"/>
        <w:gridCol w:w="2880"/>
        <w:gridCol w:w="2880"/>
      </w:tblGrid>
      <w:tr>
        <w:tc>
          <w:tcPr>
            <w:tcW w:type="dxa" w:w="1872"/>
          </w:tcPr>
          <w:p>
            <w:r/>
            <w:r>
              <w:rPr>
                <w:b/>
                <w:sz w:val="20"/>
              </w:rPr>
              <w:t>Model</w:t>
            </w:r>
          </w:p>
        </w:tc>
        <w:tc>
          <w:tcPr>
            <w:tcW w:type="dxa" w:w="4032"/>
          </w:tcPr>
          <w:p>
            <w:r/>
            <w:r>
              <w:rPr>
                <w:b/>
                <w:sz w:val="20"/>
              </w:rPr>
              <w:t>Key Fields</w:t>
            </w:r>
          </w:p>
        </w:tc>
        <w:tc>
          <w:tcPr>
            <w:tcW w:type="dxa" w:w="3888"/>
          </w:tcPr>
          <w:p>
            <w:r/>
            <w:r>
              <w:rPr>
                <w:b/>
                <w:sz w:val="20"/>
              </w:rPr>
              <w:t>Notes</w:t>
            </w:r>
          </w:p>
        </w:tc>
      </w:tr>
      <w:tr>
        <w:tc>
          <w:tcPr>
            <w:tcW w:type="dxa" w:w="1872"/>
          </w:tcPr>
          <w:p>
            <w:r/>
            <w:r>
              <w:rPr>
                <w:sz w:val="20"/>
              </w:rPr>
              <w:t>Department</w:t>
            </w:r>
          </w:p>
        </w:tc>
        <w:tc>
          <w:tcPr>
            <w:tcW w:type="dxa" w:w="4032"/>
          </w:tcPr>
          <w:p>
            <w:r/>
            <w:r>
              <w:rPr>
                <w:sz w:val="20"/>
              </w:rPr>
              <w:t>id, name</w:t>
            </w:r>
          </w:p>
        </w:tc>
        <w:tc>
          <w:tcPr>
            <w:tcW w:type="dxa" w:w="3888"/>
          </w:tcPr>
          <w:p>
            <w:r/>
            <w:r>
              <w:rPr>
                <w:sz w:val="20"/>
              </w:rPr>
              <w:t>GENERAL, COMPUTER, ELECTRICAL, MECHANICAL, CIVIL</w:t>
            </w:r>
          </w:p>
        </w:tc>
      </w:tr>
      <w:tr>
        <w:tc>
          <w:tcPr>
            <w:tcW w:type="dxa" w:w="1872"/>
          </w:tcPr>
          <w:p>
            <w:r/>
            <w:r>
              <w:rPr>
                <w:sz w:val="20"/>
              </w:rPr>
              <w:t>Batch</w:t>
            </w:r>
          </w:p>
        </w:tc>
        <w:tc>
          <w:tcPr>
            <w:tcW w:type="dxa" w:w="4032"/>
          </w:tcPr>
          <w:p>
            <w:r/>
            <w:r>
              <w:rPr>
                <w:sz w:val="20"/>
              </w:rPr>
              <w:t>id, name, startRegNo, endRegNo</w:t>
            </w:r>
          </w:p>
        </w:tc>
        <w:tc>
          <w:tcPr>
            <w:tcW w:type="dxa" w:w="3888"/>
          </w:tcPr>
          <w:p>
            <w:r/>
            <w:r>
              <w:rPr>
                <w:sz w:val="20"/>
              </w:rPr>
              <w:t>Registration-number ranges define batch membership</w:t>
            </w:r>
          </w:p>
        </w:tc>
      </w:tr>
      <w:tr>
        <w:tc>
          <w:tcPr>
            <w:tcW w:type="dxa" w:w="1872"/>
          </w:tcPr>
          <w:p>
            <w:r/>
            <w:r>
              <w:rPr>
                <w:sz w:val="20"/>
              </w:rPr>
              <w:t>Student</w:t>
            </w:r>
          </w:p>
        </w:tc>
        <w:tc>
          <w:tcPr>
            <w:tcW w:type="dxa" w:w="4032"/>
          </w:tcPr>
          <w:p>
            <w:r/>
            <w:r>
              <w:rPr>
                <w:sz w:val="20"/>
              </w:rPr>
              <w:t>regNo (PK), batchId, departmentId, password, isFirstLogin</w:t>
            </w:r>
          </w:p>
        </w:tc>
        <w:tc>
          <w:tcPr>
            <w:tcW w:type="dxa" w:w="3888"/>
          </w:tcPr>
          <w:p>
            <w:r/>
            <w:r>
              <w:rPr>
                <w:sz w:val="20"/>
              </w:rPr>
              <w:t>Password null until first set; cascade delete with batch</w:t>
            </w:r>
          </w:p>
        </w:tc>
      </w:tr>
      <w:tr>
        <w:tc>
          <w:tcPr>
            <w:tcW w:type="dxa" w:w="1872"/>
          </w:tcPr>
          <w:p>
            <w:r/>
            <w:r>
              <w:rPr>
                <w:sz w:val="20"/>
              </w:rPr>
              <w:t>Module</w:t>
            </w:r>
          </w:p>
        </w:tc>
        <w:tc>
          <w:tcPr>
            <w:tcW w:type="dxa" w:w="4032"/>
          </w:tcPr>
          <w:p>
            <w:r/>
            <w:r>
              <w:rPr>
                <w:sz w:val="20"/>
              </w:rPr>
              <w:t>code (PK), name, credits, type, isGpa, semester, departmentId</w:t>
            </w:r>
          </w:p>
        </w:tc>
        <w:tc>
          <w:tcPr>
            <w:tcW w:type="dxa" w:w="3888"/>
          </w:tcPr>
          <w:p>
            <w:r/>
            <w:r>
              <w:rPr>
                <w:sz w:val="20"/>
              </w:rPr>
              <w:t>type: CORE / optionals; isGpa flags GPA inclusion</w:t>
            </w:r>
          </w:p>
        </w:tc>
      </w:tr>
      <w:tr>
        <w:tc>
          <w:tcPr>
            <w:tcW w:type="dxa" w:w="1872"/>
          </w:tcPr>
          <w:p>
            <w:r/>
            <w:r>
              <w:rPr>
                <w:sz w:val="20"/>
              </w:rPr>
              <w:t>Admin</w:t>
            </w:r>
          </w:p>
        </w:tc>
        <w:tc>
          <w:tcPr>
            <w:tcW w:type="dxa" w:w="4032"/>
          </w:tcPr>
          <w:p>
            <w:r/>
            <w:r>
              <w:rPr>
                <w:sz w:val="20"/>
              </w:rPr>
              <w:t>id, email, password</w:t>
            </w:r>
          </w:p>
        </w:tc>
        <w:tc>
          <w:tcPr>
            <w:tcW w:type="dxa" w:w="3888"/>
          </w:tcPr>
          <w:p>
            <w:r/>
            <w:r>
              <w:rPr>
                <w:sz w:val="20"/>
              </w:rPr>
              <w:t>Portal administrators</w:t>
            </w:r>
          </w:p>
        </w:tc>
      </w:tr>
      <w:tr>
        <w:tc>
          <w:tcPr>
            <w:tcW w:type="dxa" w:w="1872"/>
          </w:tcPr>
          <w:p>
            <w:r/>
            <w:r>
              <w:rPr>
                <w:sz w:val="20"/>
              </w:rPr>
              <w:t>Result</w:t>
            </w:r>
          </w:p>
        </w:tc>
        <w:tc>
          <w:tcPr>
            <w:tcW w:type="dxa" w:w="4032"/>
          </w:tcPr>
          <w:p>
            <w:r/>
            <w:r>
              <w:rPr>
                <w:sz w:val="20"/>
              </w:rPr>
              <w:t>studentRegNo + moduleCode (PK), grade, previousGrade, isRepeat, isPublished, isGpa</w:t>
            </w:r>
          </w:p>
        </w:tc>
        <w:tc>
          <w:tcPr>
            <w:tcW w:type="dxa" w:w="3888"/>
          </w:tcPr>
          <w:p>
            <w:r/>
            <w:r>
              <w:rPr>
                <w:sz w:val="20"/>
              </w:rPr>
              <w:t>Composite PK; published flag drives visibility</w:t>
            </w:r>
          </w:p>
        </w:tc>
      </w:tr>
      <w:tr>
        <w:tc>
          <w:tcPr>
            <w:tcW w:type="dxa" w:w="1872"/>
          </w:tcPr>
          <w:p>
            <w:r/>
            <w:r>
              <w:rPr>
                <w:sz w:val="20"/>
              </w:rPr>
              <w:t>Notification</w:t>
            </w:r>
          </w:p>
        </w:tc>
        <w:tc>
          <w:tcPr>
            <w:tcW w:type="dxa" w:w="4032"/>
          </w:tcPr>
          <w:p>
            <w:r/>
            <w:r>
              <w:rPr>
                <w:sz w:val="20"/>
              </w:rPr>
              <w:t>id, studentRegNo, title, message, isRead</w:t>
            </w:r>
          </w:p>
        </w:tc>
        <w:tc>
          <w:tcPr>
            <w:tcW w:type="dxa" w:w="3888"/>
          </w:tcPr>
          <w:p>
            <w:r/>
            <w:r>
              <w:rPr>
                <w:sz w:val="20"/>
              </w:rPr>
              <w:t>Created for a student when a result is published</w:t>
            </w:r>
          </w:p>
        </w:tc>
      </w:tr>
      <w:tr>
        <w:tc>
          <w:tcPr>
            <w:tcW w:type="dxa" w:w="1872"/>
          </w:tcPr>
          <w:p>
            <w:r/>
            <w:r>
              <w:rPr>
                <w:sz w:val="20"/>
              </w:rPr>
              <w:t>Examiner</w:t>
            </w:r>
          </w:p>
        </w:tc>
        <w:tc>
          <w:tcPr>
            <w:tcW w:type="dxa" w:w="4032"/>
          </w:tcPr>
          <w:p>
            <w:r/>
            <w:r>
              <w:rPr>
                <w:sz w:val="20"/>
              </w:rPr>
              <w:t>email (PK), name, departmentId, isRegistered</w:t>
            </w:r>
          </w:p>
        </w:tc>
        <w:tc>
          <w:tcPr>
            <w:tcW w:type="dxa" w:w="3888"/>
          </w:tcPr>
          <w:p>
            <w:r/>
            <w:r>
              <w:rPr>
                <w:sz w:val="20"/>
              </w:rPr>
              <w:t>Self-registration after admin creates the account</w:t>
            </w:r>
          </w:p>
        </w:tc>
      </w:tr>
      <w:tr>
        <w:tc>
          <w:tcPr>
            <w:tcW w:type="dxa" w:w="1872"/>
          </w:tcPr>
          <w:p>
            <w:r/>
            <w:r>
              <w:rPr>
                <w:sz w:val="20"/>
              </w:rPr>
              <w:t>ExamSchedule</w:t>
            </w:r>
          </w:p>
        </w:tc>
        <w:tc>
          <w:tcPr>
            <w:tcW w:type="dxa" w:w="4032"/>
          </w:tcPr>
          <w:p>
            <w:r/>
            <w:r>
              <w:rPr>
                <w:sz w:val="20"/>
              </w:rPr>
              <w:t>id, moduleCode, examinerEmail, date, venue</w:t>
            </w:r>
          </w:p>
        </w:tc>
        <w:tc>
          <w:tcPr>
            <w:tcW w:type="dxa" w:w="3888"/>
          </w:tcPr>
          <w:p>
            <w:r/>
            <w:r>
              <w:rPr>
                <w:sz w:val="20"/>
              </w:rPr>
              <w:t>Viva/presentation timetable entries</w:t>
            </w:r>
          </w:p>
        </w:tc>
      </w:tr>
      <w:tr>
        <w:tc>
          <w:tcPr>
            <w:tcW w:type="dxa" w:w="1872"/>
          </w:tcPr>
          <w:p>
            <w:r/>
            <w:r>
              <w:rPr>
                <w:sz w:val="20"/>
              </w:rPr>
              <w:t>ExaminerNotification</w:t>
            </w:r>
          </w:p>
        </w:tc>
        <w:tc>
          <w:tcPr>
            <w:tcW w:type="dxa" w:w="4032"/>
          </w:tcPr>
          <w:p>
            <w:r/>
            <w:r>
              <w:rPr>
                <w:sz w:val="20"/>
              </w:rPr>
              <w:t>id, examinerEmail, title, message, isRead</w:t>
            </w:r>
          </w:p>
        </w:tc>
        <w:tc>
          <w:tcPr>
            <w:tcW w:type="dxa" w:w="3888"/>
          </w:tcPr>
          <w:p>
            <w:r/>
            <w:r>
              <w:rPr>
                <w:sz w:val="20"/>
              </w:rPr>
              <w:t>Examiner-facing notices</w:t>
            </w:r>
          </w:p>
        </w:tc>
      </w:tr>
    </w:tbl>
    <w:p/>
    <w:p>
      <w:pPr>
        <w:pStyle w:val="Heading2"/>
      </w:pPr>
      <w:r>
        <w:t>4.1 GPA Grading Scale</w:t>
      </w:r>
    </w:p>
    <w:tbl>
      <w:tblPr>
        <w:tblStyle w:val="LightGrid-Accent2"/>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1728"/>
          </w:tcPr>
          <w:p>
            <w:r/>
            <w:r>
              <w:rPr>
                <w:b/>
                <w:sz w:val="20"/>
              </w:rPr>
              <w:t>Grade</w:t>
            </w:r>
          </w:p>
        </w:tc>
        <w:tc>
          <w:tcPr>
            <w:tcW w:type="dxa" w:w="864"/>
          </w:tcPr>
          <w:p>
            <w:r/>
            <w:r>
              <w:rPr>
                <w:b/>
                <w:sz w:val="20"/>
              </w:rPr>
              <w:t>A+/A</w:t>
            </w:r>
          </w:p>
        </w:tc>
        <w:tc>
          <w:tcPr>
            <w:tcW w:type="dxa" w:w="864"/>
          </w:tcPr>
          <w:p>
            <w:r/>
            <w:r>
              <w:rPr>
                <w:b/>
                <w:sz w:val="20"/>
              </w:rPr>
              <w:t>A-</w:t>
            </w:r>
          </w:p>
        </w:tc>
        <w:tc>
          <w:tcPr>
            <w:tcW w:type="dxa" w:w="864"/>
          </w:tcPr>
          <w:p>
            <w:r/>
            <w:r>
              <w:rPr>
                <w:b/>
                <w:sz w:val="20"/>
              </w:rPr>
              <w:t>B+</w:t>
            </w:r>
          </w:p>
        </w:tc>
        <w:tc>
          <w:tcPr>
            <w:tcW w:type="dxa" w:w="864"/>
          </w:tcPr>
          <w:p>
            <w:r/>
            <w:r>
              <w:rPr>
                <w:b/>
                <w:sz w:val="20"/>
              </w:rPr>
              <w:t>B</w:t>
            </w:r>
          </w:p>
        </w:tc>
        <w:tc>
          <w:tcPr>
            <w:tcW w:type="dxa" w:w="864"/>
          </w:tcPr>
          <w:p>
            <w:r/>
            <w:r>
              <w:rPr>
                <w:b/>
                <w:sz w:val="20"/>
              </w:rPr>
              <w:t>B-</w:t>
            </w:r>
          </w:p>
        </w:tc>
        <w:tc>
          <w:tcPr>
            <w:tcW w:type="dxa" w:w="864"/>
          </w:tcPr>
          <w:p>
            <w:r/>
            <w:r>
              <w:rPr>
                <w:b/>
                <w:sz w:val="20"/>
              </w:rPr>
              <w:t>C+</w:t>
            </w:r>
          </w:p>
        </w:tc>
        <w:tc>
          <w:tcPr>
            <w:tcW w:type="dxa" w:w="864"/>
          </w:tcPr>
          <w:p>
            <w:r/>
            <w:r>
              <w:rPr>
                <w:b/>
                <w:sz w:val="20"/>
              </w:rPr>
              <w:t>C</w:t>
            </w:r>
          </w:p>
        </w:tc>
        <w:tc>
          <w:tcPr>
            <w:tcW w:type="dxa" w:w="864"/>
          </w:tcPr>
          <w:p>
            <w:r/>
            <w:r>
              <w:rPr>
                <w:b/>
                <w:sz w:val="20"/>
              </w:rPr>
              <w:t>C-</w:t>
            </w:r>
          </w:p>
        </w:tc>
        <w:tc>
          <w:tcPr>
            <w:tcW w:type="dxa" w:w="864"/>
          </w:tcPr>
          <w:p>
            <w:r/>
            <w:r>
              <w:rPr>
                <w:b/>
                <w:sz w:val="20"/>
              </w:rPr>
              <w:t>D+</w:t>
            </w:r>
          </w:p>
        </w:tc>
        <w:tc>
          <w:tcPr>
            <w:tcW w:type="dxa" w:w="864"/>
          </w:tcPr>
          <w:p>
            <w:r/>
            <w:r>
              <w:rPr>
                <w:b/>
                <w:sz w:val="20"/>
              </w:rPr>
              <w:t>D</w:t>
            </w:r>
          </w:p>
        </w:tc>
        <w:tc>
          <w:tcPr>
            <w:tcW w:type="dxa" w:w="1296"/>
          </w:tcPr>
          <w:p>
            <w:r/>
            <w:r>
              <w:rPr>
                <w:b/>
                <w:sz w:val="20"/>
              </w:rPr>
              <w:t>E/F/AB</w:t>
            </w:r>
          </w:p>
        </w:tc>
      </w:tr>
      <w:tr>
        <w:tc>
          <w:tcPr>
            <w:tcW w:type="dxa" w:w="1728"/>
          </w:tcPr>
          <w:p>
            <w:r/>
            <w:r>
              <w:rPr>
                <w:sz w:val="20"/>
              </w:rPr>
              <w:t>Grade Point</w:t>
            </w:r>
          </w:p>
        </w:tc>
        <w:tc>
          <w:tcPr>
            <w:tcW w:type="dxa" w:w="864"/>
          </w:tcPr>
          <w:p>
            <w:r/>
            <w:r>
              <w:rPr>
                <w:sz w:val="20"/>
              </w:rPr>
              <w:t>4.0</w:t>
            </w:r>
          </w:p>
        </w:tc>
        <w:tc>
          <w:tcPr>
            <w:tcW w:type="dxa" w:w="864"/>
          </w:tcPr>
          <w:p>
            <w:r/>
            <w:r>
              <w:rPr>
                <w:sz w:val="20"/>
              </w:rPr>
              <w:t>3.7</w:t>
            </w:r>
          </w:p>
        </w:tc>
        <w:tc>
          <w:tcPr>
            <w:tcW w:type="dxa" w:w="864"/>
          </w:tcPr>
          <w:p>
            <w:r/>
            <w:r>
              <w:rPr>
                <w:sz w:val="20"/>
              </w:rPr>
              <w:t>3.3</w:t>
            </w:r>
          </w:p>
        </w:tc>
        <w:tc>
          <w:tcPr>
            <w:tcW w:type="dxa" w:w="864"/>
          </w:tcPr>
          <w:p>
            <w:r/>
            <w:r>
              <w:rPr>
                <w:sz w:val="20"/>
              </w:rPr>
              <w:t>3.0</w:t>
            </w:r>
          </w:p>
        </w:tc>
        <w:tc>
          <w:tcPr>
            <w:tcW w:type="dxa" w:w="864"/>
          </w:tcPr>
          <w:p>
            <w:r/>
            <w:r>
              <w:rPr>
                <w:sz w:val="20"/>
              </w:rPr>
              <w:t>2.7</w:t>
            </w:r>
          </w:p>
        </w:tc>
        <w:tc>
          <w:tcPr>
            <w:tcW w:type="dxa" w:w="864"/>
          </w:tcPr>
          <w:p>
            <w:r/>
            <w:r>
              <w:rPr>
                <w:sz w:val="20"/>
              </w:rPr>
              <w:t>2.3</w:t>
            </w:r>
          </w:p>
        </w:tc>
        <w:tc>
          <w:tcPr>
            <w:tcW w:type="dxa" w:w="864"/>
          </w:tcPr>
          <w:p>
            <w:r/>
            <w:r>
              <w:rPr>
                <w:sz w:val="20"/>
              </w:rPr>
              <w:t>2.0</w:t>
            </w:r>
          </w:p>
        </w:tc>
        <w:tc>
          <w:tcPr>
            <w:tcW w:type="dxa" w:w="864"/>
          </w:tcPr>
          <w:p>
            <w:r/>
            <w:r>
              <w:rPr>
                <w:sz w:val="20"/>
              </w:rPr>
              <w:t>1.7</w:t>
            </w:r>
          </w:p>
        </w:tc>
        <w:tc>
          <w:tcPr>
            <w:tcW w:type="dxa" w:w="864"/>
          </w:tcPr>
          <w:p>
            <w:r/>
            <w:r>
              <w:rPr>
                <w:sz w:val="20"/>
              </w:rPr>
              <w:t>1.3</w:t>
            </w:r>
          </w:p>
        </w:tc>
        <w:tc>
          <w:tcPr>
            <w:tcW w:type="dxa" w:w="864"/>
          </w:tcPr>
          <w:p>
            <w:r/>
            <w:r>
              <w:rPr>
                <w:sz w:val="20"/>
              </w:rPr>
              <w:t>1.0</w:t>
            </w:r>
          </w:p>
        </w:tc>
        <w:tc>
          <w:tcPr>
            <w:tcW w:type="dxa" w:w="1296"/>
          </w:tcPr>
          <w:p>
            <w:r/>
            <w:r>
              <w:rPr>
                <w:sz w:val="20"/>
              </w:rPr>
              <w:t>0.0</w:t>
            </w:r>
          </w:p>
        </w:tc>
      </w:tr>
    </w:tbl>
    <w:p/>
    <w:p>
      <w:r>
        <w:rPr>
          <w:b w:val="0"/>
          <w:i/>
          <w:color w:val="555555"/>
          <w:sz w:val="20"/>
        </w:rPr>
        <w:t>A grade suffixed with * (repeat capped) contributes at most 2.0 grade points. SGPA is the credit-weighted mean per semester; CGPA is the credit-weighted mean across all published, GPA-eligible results.</w:t>
      </w:r>
    </w:p>
    <w:p>
      <w:pPr>
        <w:pStyle w:val="Heading1"/>
      </w:pPr>
      <w:r>
        <w:t>5. API Reference</w:t>
      </w:r>
    </w:p>
    <w:p>
      <w:r>
        <w:rPr>
          <w:b w:val="0"/>
          <w:i w:val="0"/>
          <w:sz w:val="22"/>
        </w:rPr>
        <w:t>Base URL: http://&lt;host&gt;:3000   —   All protected routes require Authorization: Bearer &lt;JWT&gt;.</w:t>
      </w:r>
    </w:p>
    <w:p>
      <w:pPr>
        <w:pStyle w:val="Heading2"/>
      </w:pPr>
      <w:r>
        <w:t>5.1 Authentication (prefix /api/auth)</w:t>
      </w:r>
    </w:p>
    <w:tbl>
      <w:tblPr>
        <w:tblStyle w:val="LightGrid-Accent2"/>
        <w:tblW w:type="auto" w:w="0"/>
        <w:jc w:val="center"/>
        <w:tblLook w:firstColumn="1" w:firstRow="1" w:lastColumn="0" w:lastRow="0" w:noHBand="0" w:noVBand="1" w:val="04A0"/>
      </w:tblPr>
      <w:tblGrid>
        <w:gridCol w:w="2880"/>
        <w:gridCol w:w="2880"/>
        <w:gridCol w:w="2880"/>
      </w:tblGrid>
      <w:tr>
        <w:tc>
          <w:tcPr>
            <w:tcW w:type="dxa" w:w="3168"/>
          </w:tcPr>
          <w:p>
            <w:r/>
            <w:r>
              <w:rPr>
                <w:b/>
                <w:sz w:val="20"/>
              </w:rPr>
              <w:t>Method &amp; Path</w:t>
            </w:r>
          </w:p>
        </w:tc>
        <w:tc>
          <w:tcPr>
            <w:tcW w:type="dxa" w:w="2448"/>
          </w:tcPr>
          <w:p>
            <w:r/>
            <w:r>
              <w:rPr>
                <w:b/>
                <w:sz w:val="20"/>
              </w:rPr>
              <w:t>Body</w:t>
            </w:r>
          </w:p>
        </w:tc>
        <w:tc>
          <w:tcPr>
            <w:tcW w:type="dxa" w:w="4176"/>
          </w:tcPr>
          <w:p>
            <w:r/>
            <w:r>
              <w:rPr>
                <w:b/>
                <w:sz w:val="20"/>
              </w:rPr>
              <w:t>Description</w:t>
            </w:r>
          </w:p>
        </w:tc>
      </w:tr>
      <w:tr>
        <w:tc>
          <w:tcPr>
            <w:tcW w:type="dxa" w:w="3168"/>
          </w:tcPr>
          <w:p>
            <w:r/>
            <w:r>
              <w:rPr>
                <w:sz w:val="20"/>
              </w:rPr>
              <w:t>POST /admin/login</w:t>
            </w:r>
          </w:p>
        </w:tc>
        <w:tc>
          <w:tcPr>
            <w:tcW w:type="dxa" w:w="2448"/>
          </w:tcPr>
          <w:p>
            <w:r/>
            <w:r>
              <w:rPr>
                <w:sz w:val="20"/>
              </w:rPr>
              <w:t>email, password</w:t>
            </w:r>
          </w:p>
        </w:tc>
        <w:tc>
          <w:tcPr>
            <w:tcW w:type="dxa" w:w="4176"/>
          </w:tcPr>
          <w:p>
            <w:r/>
            <w:r>
              <w:rPr>
                <w:sz w:val="20"/>
              </w:rPr>
              <w:t>Admin login → JWT (role ADMIN)</w:t>
            </w:r>
          </w:p>
        </w:tc>
      </w:tr>
      <w:tr>
        <w:tc>
          <w:tcPr>
            <w:tcW w:type="dxa" w:w="3168"/>
          </w:tcPr>
          <w:p>
            <w:r/>
            <w:r>
              <w:rPr>
                <w:sz w:val="20"/>
              </w:rPr>
              <w:t>POST /student/login</w:t>
            </w:r>
          </w:p>
        </w:tc>
        <w:tc>
          <w:tcPr>
            <w:tcW w:type="dxa" w:w="2448"/>
          </w:tcPr>
          <w:p>
            <w:r/>
            <w:r>
              <w:rPr>
                <w:sz w:val="20"/>
              </w:rPr>
              <w:t>regNo, password</w:t>
            </w:r>
          </w:p>
        </w:tc>
        <w:tc>
          <w:tcPr>
            <w:tcW w:type="dxa" w:w="4176"/>
          </w:tcPr>
          <w:p>
            <w:r/>
            <w:r>
              <w:rPr>
                <w:sz w:val="20"/>
              </w:rPr>
              <w:t>Student login → JWT; returns isFirstLogin</w:t>
            </w:r>
          </w:p>
        </w:tc>
      </w:tr>
      <w:tr>
        <w:tc>
          <w:tcPr>
            <w:tcW w:type="dxa" w:w="3168"/>
          </w:tcPr>
          <w:p>
            <w:r/>
            <w:r>
              <w:rPr>
                <w:sz w:val="20"/>
              </w:rPr>
              <w:t>POST /examiner/login</w:t>
            </w:r>
          </w:p>
        </w:tc>
        <w:tc>
          <w:tcPr>
            <w:tcW w:type="dxa" w:w="2448"/>
          </w:tcPr>
          <w:p>
            <w:r/>
            <w:r>
              <w:rPr>
                <w:sz w:val="20"/>
              </w:rPr>
              <w:t>email, password</w:t>
            </w:r>
          </w:p>
        </w:tc>
        <w:tc>
          <w:tcPr>
            <w:tcW w:type="dxa" w:w="4176"/>
          </w:tcPr>
          <w:p>
            <w:r/>
            <w:r>
              <w:rPr>
                <w:sz w:val="20"/>
              </w:rPr>
              <w:t>Examiner login (requires isRegistered)</w:t>
            </w:r>
          </w:p>
        </w:tc>
      </w:tr>
      <w:tr>
        <w:tc>
          <w:tcPr>
            <w:tcW w:type="dxa" w:w="3168"/>
          </w:tcPr>
          <w:p>
            <w:r/>
            <w:r>
              <w:rPr>
                <w:sz w:val="20"/>
              </w:rPr>
              <w:t>POST /examiner/register</w:t>
            </w:r>
          </w:p>
        </w:tc>
        <w:tc>
          <w:tcPr>
            <w:tcW w:type="dxa" w:w="2448"/>
          </w:tcPr>
          <w:p>
            <w:r/>
            <w:r>
              <w:rPr>
                <w:sz w:val="20"/>
              </w:rPr>
              <w:t>email, password</w:t>
            </w:r>
          </w:p>
        </w:tc>
        <w:tc>
          <w:tcPr>
            <w:tcW w:type="dxa" w:w="4176"/>
          </w:tcPr>
          <w:p>
            <w:r/>
            <w:r>
              <w:rPr>
                <w:sz w:val="20"/>
              </w:rPr>
              <w:t>First-time examiner password setup</w:t>
            </w:r>
          </w:p>
        </w:tc>
      </w:tr>
      <w:tr>
        <w:tc>
          <w:tcPr>
            <w:tcW w:type="dxa" w:w="3168"/>
          </w:tcPr>
          <w:p>
            <w:r/>
            <w:r>
              <w:rPr>
                <w:sz w:val="20"/>
              </w:rPr>
              <w:t>POST /student/change-password</w:t>
            </w:r>
          </w:p>
        </w:tc>
        <w:tc>
          <w:tcPr>
            <w:tcW w:type="dxa" w:w="2448"/>
          </w:tcPr>
          <w:p>
            <w:r/>
            <w:r>
              <w:rPr>
                <w:sz w:val="20"/>
              </w:rPr>
              <w:t>newPassword (min 6)</w:t>
            </w:r>
          </w:p>
        </w:tc>
        <w:tc>
          <w:tcPr>
            <w:tcW w:type="dxa" w:w="4176"/>
          </w:tcPr>
          <w:p>
            <w:r/>
            <w:r>
              <w:rPr>
                <w:sz w:val="20"/>
              </w:rPr>
              <w:t>Student password change; returns refreshed JWT</w:t>
            </w:r>
          </w:p>
        </w:tc>
      </w:tr>
    </w:tbl>
    <w:p/>
    <w:p>
      <w:pPr>
        <w:pStyle w:val="Heading2"/>
      </w:pPr>
      <w:r>
        <w:t>5.2 Student (prefix /api/student, STUDENT role)</w:t>
      </w:r>
    </w:p>
    <w:tbl>
      <w:tblPr>
        <w:tblStyle w:val="LightGrid-Accent2"/>
        <w:tblW w:type="auto" w:w="0"/>
        <w:jc w:val="center"/>
        <w:tblLook w:firstColumn="1" w:firstRow="1" w:lastColumn="0" w:lastRow="0" w:noHBand="0" w:noVBand="1" w:val="04A0"/>
      </w:tblPr>
      <w:tblGrid>
        <w:gridCol w:w="4320"/>
        <w:gridCol w:w="4320"/>
      </w:tblGrid>
      <w:tr>
        <w:tc>
          <w:tcPr>
            <w:tcW w:type="dxa" w:w="3456"/>
          </w:tcPr>
          <w:p>
            <w:r/>
            <w:r>
              <w:rPr>
                <w:b/>
                <w:sz w:val="20"/>
              </w:rPr>
              <w:t>Method &amp; Path</w:t>
            </w:r>
          </w:p>
        </w:tc>
        <w:tc>
          <w:tcPr>
            <w:tcW w:type="dxa" w:w="6336"/>
          </w:tcPr>
          <w:p>
            <w:r/>
            <w:r>
              <w:rPr>
                <w:b/>
                <w:sz w:val="20"/>
              </w:rPr>
              <w:t>Description</w:t>
            </w:r>
          </w:p>
        </w:tc>
      </w:tr>
      <w:tr>
        <w:tc>
          <w:tcPr>
            <w:tcW w:type="dxa" w:w="3456"/>
          </w:tcPr>
          <w:p>
            <w:r/>
            <w:r>
              <w:rPr>
                <w:sz w:val="20"/>
              </w:rPr>
              <w:t>GET /dashboard</w:t>
            </w:r>
          </w:p>
        </w:tc>
        <w:tc>
          <w:tcPr>
            <w:tcW w:type="dxa" w:w="6336"/>
          </w:tcPr>
          <w:p>
            <w:r/>
            <w:r>
              <w:rPr>
                <w:sz w:val="20"/>
              </w:rPr>
              <w:t>Student profile + results grouped by semester + SGPA map + CGPA</w:t>
            </w:r>
          </w:p>
        </w:tc>
      </w:tr>
      <w:tr>
        <w:tc>
          <w:tcPr>
            <w:tcW w:type="dxa" w:w="3456"/>
          </w:tcPr>
          <w:p>
            <w:r/>
            <w:r>
              <w:rPr>
                <w:sz w:val="20"/>
              </w:rPr>
              <w:t>GET /notifications</w:t>
            </w:r>
          </w:p>
        </w:tc>
        <w:tc>
          <w:tcPr>
            <w:tcW w:type="dxa" w:w="6336"/>
          </w:tcPr>
          <w:p>
            <w:r/>
            <w:r>
              <w:rPr>
                <w:sz w:val="20"/>
              </w:rPr>
              <w:t>Student notifications, newest first</w:t>
            </w:r>
          </w:p>
        </w:tc>
      </w:tr>
      <w:tr>
        <w:tc>
          <w:tcPr>
            <w:tcW w:type="dxa" w:w="3456"/>
          </w:tcPr>
          <w:p>
            <w:r/>
            <w:r>
              <w:rPr>
                <w:sz w:val="20"/>
              </w:rPr>
              <w:t>POST /notifications/read</w:t>
            </w:r>
          </w:p>
        </w:tc>
        <w:tc>
          <w:tcPr>
            <w:tcW w:type="dxa" w:w="6336"/>
          </w:tcPr>
          <w:p>
            <w:r/>
            <w:r>
              <w:rPr>
                <w:sz w:val="20"/>
              </w:rPr>
              <w:t>Mark all notifications read</w:t>
            </w:r>
          </w:p>
        </w:tc>
      </w:tr>
      <w:tr>
        <w:tc>
          <w:tcPr>
            <w:tcW w:type="dxa" w:w="3456"/>
          </w:tcPr>
          <w:p>
            <w:r/>
            <w:r>
              <w:rPr>
                <w:sz w:val="20"/>
              </w:rPr>
              <w:t>GET /exam-schedules</w:t>
            </w:r>
          </w:p>
        </w:tc>
        <w:tc>
          <w:tcPr>
            <w:tcW w:type="dxa" w:w="6336"/>
          </w:tcPr>
          <w:p>
            <w:r/>
            <w:r>
              <w:rPr>
                <w:sz w:val="20"/>
              </w:rPr>
              <w:t>Exam schedules for the student’s department + GENERAL modules</w:t>
            </w:r>
          </w:p>
        </w:tc>
      </w:tr>
    </w:tbl>
    <w:p/>
    <w:p>
      <w:pPr>
        <w:pStyle w:val="Heading2"/>
      </w:pPr>
      <w:r>
        <w:t>5.3 Admin (prefix /api/admin, ADMIN role)</w:t>
      </w:r>
    </w:p>
    <w:tbl>
      <w:tblPr>
        <w:tblStyle w:val="LightGrid-Accent2"/>
        <w:tblW w:type="auto" w:w="0"/>
        <w:jc w:val="center"/>
        <w:tblLook w:firstColumn="1" w:firstRow="1" w:lastColumn="0" w:lastRow="0" w:noHBand="0" w:noVBand="1" w:val="04A0"/>
      </w:tblPr>
      <w:tblGrid>
        <w:gridCol w:w="4320"/>
        <w:gridCol w:w="4320"/>
      </w:tblGrid>
      <w:tr>
        <w:tc>
          <w:tcPr>
            <w:tcW w:type="dxa" w:w="3456"/>
          </w:tcPr>
          <w:p>
            <w:r/>
            <w:r>
              <w:rPr>
                <w:b/>
                <w:sz w:val="20"/>
              </w:rPr>
              <w:t>Method &amp; Path</w:t>
            </w:r>
          </w:p>
        </w:tc>
        <w:tc>
          <w:tcPr>
            <w:tcW w:type="dxa" w:w="6336"/>
          </w:tcPr>
          <w:p>
            <w:r/>
            <w:r>
              <w:rPr>
                <w:b/>
                <w:sz w:val="20"/>
              </w:rPr>
              <w:t>Description</w:t>
            </w:r>
          </w:p>
        </w:tc>
      </w:tr>
      <w:tr>
        <w:tc>
          <w:tcPr>
            <w:tcW w:type="dxa" w:w="3456"/>
          </w:tcPr>
          <w:p>
            <w:r/>
            <w:r>
              <w:rPr>
                <w:sz w:val="20"/>
              </w:rPr>
              <w:t>POST /batches</w:t>
            </w:r>
          </w:p>
        </w:tc>
        <w:tc>
          <w:tcPr>
            <w:tcW w:type="dxa" w:w="6336"/>
          </w:tcPr>
          <w:p>
            <w:r/>
            <w:r>
              <w:rPr>
                <w:sz w:val="20"/>
              </w:rPr>
              <w:t>Create batch; generates students + one-time plain passwords</w:t>
            </w:r>
          </w:p>
        </w:tc>
      </w:tr>
      <w:tr>
        <w:tc>
          <w:tcPr>
            <w:tcW w:type="dxa" w:w="3456"/>
          </w:tcPr>
          <w:p>
            <w:r/>
            <w:r>
              <w:rPr>
                <w:sz w:val="20"/>
              </w:rPr>
              <w:t>GET /batches</w:t>
            </w:r>
          </w:p>
        </w:tc>
        <w:tc>
          <w:tcPr>
            <w:tcW w:type="dxa" w:w="6336"/>
          </w:tcPr>
          <w:p>
            <w:r/>
            <w:r>
              <w:rPr>
                <w:sz w:val="20"/>
              </w:rPr>
              <w:t>List batches with student counts</w:t>
            </w:r>
          </w:p>
        </w:tc>
      </w:tr>
      <w:tr>
        <w:tc>
          <w:tcPr>
            <w:tcW w:type="dxa" w:w="3456"/>
          </w:tcPr>
          <w:p>
            <w:r/>
            <w:r>
              <w:rPr>
                <w:sz w:val="20"/>
              </w:rPr>
              <w:t>POST /upload</w:t>
            </w:r>
          </w:p>
        </w:tc>
        <w:tc>
          <w:tcPr>
            <w:tcW w:type="dxa" w:w="6336"/>
          </w:tcPr>
          <w:p>
            <w:r/>
            <w:r>
              <w:rPr>
                <w:sz w:val="20"/>
              </w:rPr>
              <w:t>Multipart CSV result upload (upserts draft results)</w:t>
            </w:r>
          </w:p>
        </w:tc>
      </w:tr>
      <w:tr>
        <w:tc>
          <w:tcPr>
            <w:tcW w:type="dxa" w:w="3456"/>
          </w:tcPr>
          <w:p>
            <w:r/>
            <w:r>
              <w:rPr>
                <w:sz w:val="20"/>
              </w:rPr>
              <w:t>POST /publish</w:t>
            </w:r>
          </w:p>
        </w:tc>
        <w:tc>
          <w:tcPr>
            <w:tcW w:type="dxa" w:w="6336"/>
          </w:tcPr>
          <w:p>
            <w:r/>
            <w:r>
              <w:rPr>
                <w:sz w:val="20"/>
              </w:rPr>
              <w:t>Publish results and create student notifications</w:t>
            </w:r>
          </w:p>
        </w:tc>
      </w:tr>
      <w:tr>
        <w:tc>
          <w:tcPr>
            <w:tcW w:type="dxa" w:w="3456"/>
          </w:tcPr>
          <w:p>
            <w:r/>
            <w:r>
              <w:rPr>
                <w:sz w:val="20"/>
              </w:rPr>
              <w:t>GET /master-sheet</w:t>
            </w:r>
          </w:p>
        </w:tc>
        <w:tc>
          <w:tcPr>
            <w:tcW w:type="dxa" w:w="6336"/>
          </w:tcPr>
          <w:p>
            <w:r/>
            <w:r>
              <w:rPr>
                <w:sz w:val="20"/>
              </w:rPr>
              <w:t>Cross-department master result sheet with GPAs</w:t>
            </w:r>
          </w:p>
        </w:tc>
      </w:tr>
      <w:tr>
        <w:tc>
          <w:tcPr>
            <w:tcW w:type="dxa" w:w="3456"/>
          </w:tcPr>
          <w:p>
            <w:r/>
            <w:r>
              <w:rPr>
                <w:sz w:val="20"/>
              </w:rPr>
              <w:t>Modules / Examiners / Departments</w:t>
            </w:r>
          </w:p>
        </w:tc>
        <w:tc>
          <w:tcPr>
            <w:tcW w:type="dxa" w:w="6336"/>
          </w:tcPr>
          <w:p>
            <w:r/>
            <w:r>
              <w:rPr>
                <w:sz w:val="20"/>
              </w:rPr>
              <w:t>CRUD for modules, examiner accounts and department allocation</w:t>
            </w:r>
          </w:p>
        </w:tc>
      </w:tr>
    </w:tbl>
    <w:p/>
    <w:p>
      <w:pPr>
        <w:pStyle w:val="Heading2"/>
      </w:pPr>
      <w:r>
        <w:t>5.4 Examiner (prefix /api/examiner, EXAMINER role)</w:t>
      </w:r>
    </w:p>
    <w:tbl>
      <w:tblPr>
        <w:tblStyle w:val="LightGrid-Accent2"/>
        <w:tblW w:type="auto" w:w="0"/>
        <w:jc w:val="center"/>
        <w:tblLook w:firstColumn="1" w:firstRow="1" w:lastColumn="0" w:lastRow="0" w:noHBand="0" w:noVBand="1" w:val="04A0"/>
      </w:tblPr>
      <w:tblGrid>
        <w:gridCol w:w="4320"/>
        <w:gridCol w:w="4320"/>
      </w:tblGrid>
      <w:tr>
        <w:tc>
          <w:tcPr>
            <w:tcW w:type="dxa" w:w="3456"/>
          </w:tcPr>
          <w:p>
            <w:r/>
            <w:r>
              <w:rPr>
                <w:b/>
                <w:sz w:val="20"/>
              </w:rPr>
              <w:t>Method &amp; Path</w:t>
            </w:r>
          </w:p>
        </w:tc>
        <w:tc>
          <w:tcPr>
            <w:tcW w:type="dxa" w:w="6336"/>
          </w:tcPr>
          <w:p>
            <w:r/>
            <w:r>
              <w:rPr>
                <w:b/>
                <w:sz w:val="20"/>
              </w:rPr>
              <w:t>Description</w:t>
            </w:r>
          </w:p>
        </w:tc>
      </w:tr>
      <w:tr>
        <w:tc>
          <w:tcPr>
            <w:tcW w:type="dxa" w:w="3456"/>
          </w:tcPr>
          <w:p>
            <w:r/>
            <w:r>
              <w:rPr>
                <w:sz w:val="20"/>
              </w:rPr>
              <w:t>GET /dashboard</w:t>
            </w:r>
          </w:p>
        </w:tc>
        <w:tc>
          <w:tcPr>
            <w:tcW w:type="dxa" w:w="6336"/>
          </w:tcPr>
          <w:p>
            <w:r/>
            <w:r>
              <w:rPr>
                <w:sz w:val="20"/>
              </w:rPr>
              <w:t>Examiner profile, department and schedules</w:t>
            </w:r>
          </w:p>
        </w:tc>
      </w:tr>
      <w:tr>
        <w:tc>
          <w:tcPr>
            <w:tcW w:type="dxa" w:w="3456"/>
          </w:tcPr>
          <w:p>
            <w:r/>
            <w:r>
              <w:rPr>
                <w:sz w:val="20"/>
              </w:rPr>
              <w:t>GET /notifications</w:t>
            </w:r>
          </w:p>
        </w:tc>
        <w:tc>
          <w:tcPr>
            <w:tcW w:type="dxa" w:w="6336"/>
          </w:tcPr>
          <w:p>
            <w:r/>
            <w:r>
              <w:rPr>
                <w:sz w:val="20"/>
              </w:rPr>
              <w:t>Examiner notifications</w:t>
            </w:r>
          </w:p>
        </w:tc>
      </w:tr>
      <w:tr>
        <w:tc>
          <w:tcPr>
            <w:tcW w:type="dxa" w:w="3456"/>
          </w:tcPr>
          <w:p>
            <w:r/>
            <w:r>
              <w:rPr>
                <w:sz w:val="20"/>
              </w:rPr>
              <w:t>POST /notifications/read</w:t>
            </w:r>
          </w:p>
        </w:tc>
        <w:tc>
          <w:tcPr>
            <w:tcW w:type="dxa" w:w="6336"/>
          </w:tcPr>
          <w:p>
            <w:r/>
            <w:r>
              <w:rPr>
                <w:sz w:val="20"/>
              </w:rPr>
              <w:t>Mark examiner notifications read</w:t>
            </w:r>
          </w:p>
        </w:tc>
      </w:tr>
    </w:tbl>
    <w:p/>
    <w:p>
      <w:pPr>
        <w:pStyle w:val="Heading1"/>
      </w:pPr>
      <w:r>
        <w:t>6. Web Portals</w:t>
      </w:r>
    </w:p>
    <w:p>
      <w:pPr>
        <w:pStyle w:val="Heading2"/>
      </w:pPr>
      <w:r>
        <w:t>6.1 Admin / Examiner Portal (frontend/)</w:t>
      </w:r>
    </w:p>
    <w:p>
      <w:pPr>
        <w:pStyle w:val="ListBullet"/>
      </w:pPr>
      <w:r>
        <w:t>Single portal serving both admins and examiners after role-based login.</w:t>
      </w:r>
    </w:p>
    <w:p>
      <w:pPr>
        <w:pStyle w:val="ListBullet"/>
      </w:pPr>
      <w:r>
        <w:t>Admin dashboard: global stats, batch creation with downloadable one-time passwords, module management, examiner management, department allocation, result CSV upload and publishing, master result sheet.</w:t>
      </w:r>
    </w:p>
    <w:p>
      <w:pPr>
        <w:pStyle w:val="ListBullet"/>
      </w:pPr>
      <w:r>
        <w:t>Examiner dashboard: profile, assigned exam schedules and notifications.</w:t>
      </w:r>
    </w:p>
    <w:p>
      <w:pPr>
        <w:pStyle w:val="ListBullet"/>
      </w:pPr>
      <w:r>
        <w:t>Tech: React 19, Vite, Tailwind v4, shadcn/ui, Axios, React Router.</w:t>
      </w:r>
    </w:p>
    <w:p>
      <w:pPr>
        <w:pStyle w:val="Heading2"/>
      </w:pPr>
      <w:r>
        <w:t>6.2 Student Portal (student-frontend/)</w:t>
      </w:r>
    </w:p>
    <w:p>
      <w:r>
        <w:rPr>
          <w:b w:val="0"/>
          <w:i w:val="0"/>
          <w:sz w:val="22"/>
        </w:rPr>
        <w:t>The student portal is the reference design for the mobile application. Every screen, colour and icon was replicated in the mobile app.</w:t>
      </w:r>
    </w:p>
    <w:p>
      <w:pPr>
        <w:pStyle w:val="Heading3"/>
      </w:pPr>
      <w:r>
        <w:t>Brand Theme</w:t>
      </w:r>
    </w:p>
    <w:tbl>
      <w:tblPr>
        <w:tblStyle w:val="LightGrid-Accent2"/>
        <w:tblW w:type="auto" w:w="0"/>
        <w:jc w:val="center"/>
        <w:tblLook w:firstColumn="1" w:firstRow="1" w:lastColumn="0" w:lastRow="0" w:noHBand="0" w:noVBand="1" w:val="04A0"/>
      </w:tblPr>
      <w:tblGrid>
        <w:gridCol w:w="2880"/>
        <w:gridCol w:w="2880"/>
        <w:gridCol w:w="2880"/>
      </w:tblGrid>
      <w:tr>
        <w:tc>
          <w:tcPr>
            <w:tcW w:type="dxa" w:w="2016"/>
          </w:tcPr>
          <w:p>
            <w:r/>
            <w:r>
              <w:rPr>
                <w:b/>
                <w:sz w:val="20"/>
              </w:rPr>
              <w:t>Token</w:t>
            </w:r>
          </w:p>
        </w:tc>
        <w:tc>
          <w:tcPr>
            <w:tcW w:type="dxa" w:w="1728"/>
          </w:tcPr>
          <w:p>
            <w:r/>
            <w:r>
              <w:rPr>
                <w:b/>
                <w:sz w:val="20"/>
              </w:rPr>
              <w:t>Hex</w:t>
            </w:r>
          </w:p>
        </w:tc>
        <w:tc>
          <w:tcPr>
            <w:tcW w:type="dxa" w:w="6048"/>
          </w:tcPr>
          <w:p>
            <w:r/>
            <w:r>
              <w:rPr>
                <w:b/>
                <w:sz w:val="20"/>
              </w:rPr>
              <w:t>Usage</w:t>
            </w:r>
          </w:p>
        </w:tc>
      </w:tr>
      <w:tr>
        <w:tc>
          <w:tcPr>
            <w:tcW w:type="dxa" w:w="2016"/>
          </w:tcPr>
          <w:p>
            <w:r/>
            <w:r>
              <w:rPr>
                <w:sz w:val="20"/>
              </w:rPr>
              <w:t>brand-900</w:t>
            </w:r>
          </w:p>
        </w:tc>
        <w:tc>
          <w:tcPr>
            <w:tcW w:type="dxa" w:w="1728"/>
          </w:tcPr>
          <w:p>
            <w:r/>
            <w:r>
              <w:rPr>
                <w:sz w:val="20"/>
              </w:rPr>
              <w:t>#611010</w:t>
            </w:r>
          </w:p>
        </w:tc>
        <w:tc>
          <w:tcPr>
            <w:tcW w:type="dxa" w:w="6048"/>
          </w:tcPr>
          <w:p>
            <w:r/>
            <w:r>
              <w:rPr>
                <w:sz w:val="20"/>
              </w:rPr>
              <w:t>Primary maroon — buttons, sidebar, logo tiles</w:t>
            </w:r>
          </w:p>
        </w:tc>
      </w:tr>
      <w:tr>
        <w:tc>
          <w:tcPr>
            <w:tcW w:type="dxa" w:w="2016"/>
          </w:tcPr>
          <w:p>
            <w:r/>
            <w:r>
              <w:rPr>
                <w:sz w:val="20"/>
              </w:rPr>
              <w:t>brand-800</w:t>
            </w:r>
          </w:p>
        </w:tc>
        <w:tc>
          <w:tcPr>
            <w:tcW w:type="dxa" w:w="1728"/>
          </w:tcPr>
          <w:p>
            <w:r/>
            <w:r>
              <w:rPr>
                <w:sz w:val="20"/>
              </w:rPr>
              <w:t>#611110</w:t>
            </w:r>
          </w:p>
        </w:tc>
        <w:tc>
          <w:tcPr>
            <w:tcW w:type="dxa" w:w="6048"/>
          </w:tcPr>
          <w:p>
            <w:r/>
            <w:r>
              <w:rPr>
                <w:sz w:val="20"/>
              </w:rPr>
              <w:t>Hover / active sidebar items</w:t>
            </w:r>
          </w:p>
        </w:tc>
      </w:tr>
      <w:tr>
        <w:tc>
          <w:tcPr>
            <w:tcW w:type="dxa" w:w="2016"/>
          </w:tcPr>
          <w:p>
            <w:r/>
            <w:r>
              <w:rPr>
                <w:sz w:val="20"/>
              </w:rPr>
              <w:t>brand-700</w:t>
            </w:r>
          </w:p>
        </w:tc>
        <w:tc>
          <w:tcPr>
            <w:tcW w:type="dxa" w:w="1728"/>
          </w:tcPr>
          <w:p>
            <w:r/>
            <w:r>
              <w:rPr>
                <w:sz w:val="20"/>
              </w:rPr>
              <w:t>#6b2020</w:t>
            </w:r>
          </w:p>
        </w:tc>
        <w:tc>
          <w:tcPr>
            <w:tcW w:type="dxa" w:w="6048"/>
          </w:tcPr>
          <w:p>
            <w:r/>
            <w:r>
              <w:rPr>
                <w:sz w:val="20"/>
              </w:rPr>
              <w:t>Sidebar borders</w:t>
            </w:r>
          </w:p>
        </w:tc>
      </w:tr>
      <w:tr>
        <w:tc>
          <w:tcPr>
            <w:tcW w:type="dxa" w:w="2016"/>
          </w:tcPr>
          <w:p>
            <w:r/>
            <w:r>
              <w:rPr>
                <w:sz w:val="20"/>
              </w:rPr>
              <w:t>brand-gold</w:t>
            </w:r>
          </w:p>
        </w:tc>
        <w:tc>
          <w:tcPr>
            <w:tcW w:type="dxa" w:w="1728"/>
          </w:tcPr>
          <w:p>
            <w:r/>
            <w:r>
              <w:rPr>
                <w:sz w:val="20"/>
              </w:rPr>
              <w:t>#f5bd1a</w:t>
            </w:r>
          </w:p>
        </w:tc>
        <w:tc>
          <w:tcPr>
            <w:tcW w:type="dxa" w:w="6048"/>
          </w:tcPr>
          <w:p>
            <w:r/>
            <w:r>
              <w:rPr>
                <w:sz w:val="20"/>
              </w:rPr>
              <w:t>Accents, badges, active text, focus rings</w:t>
            </w:r>
          </w:p>
        </w:tc>
      </w:tr>
      <w:tr>
        <w:tc>
          <w:tcPr>
            <w:tcW w:type="dxa" w:w="2016"/>
          </w:tcPr>
          <w:p>
            <w:r/>
            <w:r>
              <w:rPr>
                <w:sz w:val="20"/>
              </w:rPr>
              <w:t>brand-white</w:t>
            </w:r>
          </w:p>
        </w:tc>
        <w:tc>
          <w:tcPr>
            <w:tcW w:type="dxa" w:w="1728"/>
          </w:tcPr>
          <w:p>
            <w:r/>
            <w:r>
              <w:rPr>
                <w:sz w:val="20"/>
              </w:rPr>
              <w:t>#fefefe</w:t>
            </w:r>
          </w:p>
        </w:tc>
        <w:tc>
          <w:tcPr>
            <w:tcW w:type="dxa" w:w="6048"/>
          </w:tcPr>
          <w:p>
            <w:r/>
            <w:r>
              <w:rPr>
                <w:sz w:val="20"/>
              </w:rPr>
              <w:t>Backgrounds and text on maroon</w:t>
            </w:r>
          </w:p>
        </w:tc>
      </w:tr>
    </w:tbl>
    <w:p/>
    <w:p>
      <w:pPr>
        <w:pStyle w:val="ListBullet"/>
      </w:pPr>
      <w:r>
        <w:t>Login — registration number + password; first-login users are routed to password change.</w:t>
      </w:r>
    </w:p>
    <w:p>
      <w:pPr>
        <w:pStyle w:val="ListBullet"/>
      </w:pPr>
      <w:r>
        <w:t>Change Password — enforced on first login; new JWT issued.</w:t>
      </w:r>
    </w:p>
    <w:p>
      <w:pPr>
        <w:pStyle w:val="ListBullet"/>
      </w:pPr>
      <w:r>
        <w:t>Dashboard — sidebar navigation (Recent Updates, Exam Timetable, per-semester results), CGPA summary card with completed credits, recently released results (New / Repeat badges, strikethrough previous grades), SGPA cards colour-coded by performance, responsive result tables, exam timetable cards, notification bell with unread dot and mark-as-read.</w:t>
      </w:r>
    </w:p>
    <w:p>
      <w:pPr>
        <w:pStyle w:val="ListBullet"/>
      </w:pPr>
      <w:r>
        <w:t>Session handling — 401/403 responses clear the token and return to login.</w:t>
      </w:r>
    </w:p>
    <w:p>
      <w:pPr>
        <w:pStyle w:val="Heading1"/>
      </w:pPr>
      <w:r>
        <w:t>7. Student Mobile Application (student-mobile/)</w:t>
      </w:r>
    </w:p>
    <w:p>
      <w:pPr>
        <w:pStyle w:val="Heading2"/>
      </w:pPr>
      <w:r>
        <w:t>7.1 Overview</w:t>
      </w:r>
    </w:p>
    <w:p>
      <w:r>
        <w:rPr>
          <w:b w:val="0"/>
          <w:i w:val="0"/>
          <w:sz w:val="22"/>
        </w:rPr>
        <w:t>A React Native (Expo) application that reproduces the student web portal one-to-one: same screens, same maroon/gold brand theme, same Geist typeface, same Lucide icons, and the same backend API contract. The app targets Android and iOS and runs immediately on a physical device through the Expo Go client.</w:t>
      </w:r>
    </w:p>
    <w:p>
      <w:pPr>
        <w:pStyle w:val="Heading2"/>
      </w:pPr>
      <w:r>
        <w:t>7.2 Feature Parity Matrix</w:t>
      </w:r>
    </w:p>
    <w:tbl>
      <w:tblPr>
        <w:tblStyle w:val="LightGrid-Accent2"/>
        <w:tblW w:type="auto" w:w="0"/>
        <w:jc w:val="center"/>
        <w:tblLook w:firstColumn="1" w:firstRow="1" w:lastColumn="0" w:lastRow="0" w:noHBand="0" w:noVBand="1" w:val="04A0"/>
      </w:tblPr>
      <w:tblGrid>
        <w:gridCol w:w="4320"/>
        <w:gridCol w:w="4320"/>
      </w:tblGrid>
      <w:tr>
        <w:tc>
          <w:tcPr>
            <w:tcW w:type="dxa" w:w="4608"/>
          </w:tcPr>
          <w:p>
            <w:r/>
            <w:r>
              <w:rPr>
                <w:b/>
                <w:sz w:val="20"/>
              </w:rPr>
              <w:t>Web Portal Feature</w:t>
            </w:r>
          </w:p>
        </w:tc>
        <w:tc>
          <w:tcPr>
            <w:tcW w:type="dxa" w:w="5184"/>
          </w:tcPr>
          <w:p>
            <w:r/>
            <w:r>
              <w:rPr>
                <w:b/>
                <w:sz w:val="20"/>
              </w:rPr>
              <w:t>Mobile Equivalent</w:t>
            </w:r>
          </w:p>
        </w:tc>
      </w:tr>
      <w:tr>
        <w:tc>
          <w:tcPr>
            <w:tcW w:type="dxa" w:w="4608"/>
          </w:tcPr>
          <w:p>
            <w:r/>
            <w:r>
              <w:rPr>
                <w:sz w:val="20"/>
              </w:rPr>
              <w:t>Login page</w:t>
            </w:r>
          </w:p>
        </w:tc>
        <w:tc>
          <w:tcPr>
            <w:tcW w:type="dxa" w:w="5184"/>
          </w:tcPr>
          <w:p>
            <w:r/>
            <w:r>
              <w:rPr>
                <w:sz w:val="20"/>
              </w:rPr>
              <w:t>LoginScreen — identical layout, gold-tinted inputs, User/Lock icons</w:t>
            </w:r>
          </w:p>
        </w:tc>
      </w:tr>
      <w:tr>
        <w:tc>
          <w:tcPr>
            <w:tcW w:type="dxa" w:w="4608"/>
          </w:tcPr>
          <w:p>
            <w:r/>
            <w:r>
              <w:rPr>
                <w:sz w:val="20"/>
              </w:rPr>
              <w:t>First-login password change</w:t>
            </w:r>
          </w:p>
        </w:tc>
        <w:tc>
          <w:tcPr>
            <w:tcW w:type="dxa" w:w="5184"/>
          </w:tcPr>
          <w:p>
            <w:r/>
            <w:r>
              <w:rPr>
                <w:sz w:val="20"/>
              </w:rPr>
              <w:t>ChangePasswordScreen — same ShieldAlert branding and validation</w:t>
            </w:r>
          </w:p>
        </w:tc>
      </w:tr>
      <w:tr>
        <w:tc>
          <w:tcPr>
            <w:tcW w:type="dxa" w:w="4608"/>
          </w:tcPr>
          <w:p>
            <w:r/>
            <w:r>
              <w:rPr>
                <w:sz w:val="20"/>
              </w:rPr>
              <w:t>Fixed sidebar navigation</w:t>
            </w:r>
          </w:p>
        </w:tc>
        <w:tc>
          <w:tcPr>
            <w:tcW w:type="dxa" w:w="5184"/>
          </w:tcPr>
          <w:p>
            <w:r/>
            <w:r>
              <w:rPr>
                <w:sz w:val="20"/>
              </w:rPr>
              <w:t>SidebarDrawer — slide-in drawer with identical items, active states and profile footer</w:t>
            </w:r>
          </w:p>
        </w:tc>
      </w:tr>
      <w:tr>
        <w:tc>
          <w:tcPr>
            <w:tcW w:type="dxa" w:w="4608"/>
          </w:tcPr>
          <w:p>
            <w:r/>
            <w:r>
              <w:rPr>
                <w:sz w:val="20"/>
              </w:rPr>
              <w:t>Dashboard overview / CGPA card</w:t>
            </w:r>
          </w:p>
        </w:tc>
        <w:tc>
          <w:tcPr>
            <w:tcW w:type="dxa" w:w="5184"/>
          </w:tcPr>
          <w:p>
            <w:r/>
            <w:r>
              <w:rPr>
                <w:sz w:val="20"/>
              </w:rPr>
              <w:t>Gradient CGPA card + completed credits + recent results cards</w:t>
            </w:r>
          </w:p>
        </w:tc>
      </w:tr>
      <w:tr>
        <w:tc>
          <w:tcPr>
            <w:tcW w:type="dxa" w:w="4608"/>
          </w:tcPr>
          <w:p>
            <w:r/>
            <w:r>
              <w:rPr>
                <w:sz w:val="20"/>
              </w:rPr>
              <w:t>Semester result tables</w:t>
            </w:r>
          </w:p>
        </w:tc>
        <w:tc>
          <w:tcPr>
            <w:tcW w:type="dxa" w:w="5184"/>
          </w:tcPr>
          <w:p>
            <w:r/>
            <w:r>
              <w:rPr>
                <w:sz w:val="20"/>
              </w:rPr>
              <w:t>Per-module result cards (code, name, credits, CORE badge, status, grade, released time)</w:t>
            </w:r>
          </w:p>
        </w:tc>
      </w:tr>
      <w:tr>
        <w:tc>
          <w:tcPr>
            <w:tcW w:type="dxa" w:w="4608"/>
          </w:tcPr>
          <w:p>
            <w:r/>
            <w:r>
              <w:rPr>
                <w:sz w:val="20"/>
              </w:rPr>
              <w:t>Exam timetable grid</w:t>
            </w:r>
          </w:p>
        </w:tc>
        <w:tc>
          <w:tcPr>
            <w:tcW w:type="dxa" w:w="5184"/>
          </w:tcPr>
          <w:p>
            <w:r/>
            <w:r>
              <w:rPr>
                <w:sz w:val="20"/>
              </w:rPr>
              <w:t>Timetable cards with top brand bar, date/time and venue rows</w:t>
            </w:r>
          </w:p>
        </w:tc>
      </w:tr>
      <w:tr>
        <w:tc>
          <w:tcPr>
            <w:tcW w:type="dxa" w:w="4608"/>
          </w:tcPr>
          <w:p>
            <w:r/>
            <w:r>
              <w:rPr>
                <w:sz w:val="20"/>
              </w:rPr>
              <w:t>Notification bell + dropdown</w:t>
            </w:r>
          </w:p>
        </w:tc>
        <w:tc>
          <w:tcPr>
            <w:tcW w:type="dxa" w:w="5184"/>
          </w:tcPr>
          <w:p>
            <w:r/>
            <w:r>
              <w:rPr>
                <w:sz w:val="20"/>
              </w:rPr>
              <w:t>Bell with unread dot + modal panel; marks read on open</w:t>
            </w:r>
          </w:p>
        </w:tc>
      </w:tr>
      <w:tr>
        <w:tc>
          <w:tcPr>
            <w:tcW w:type="dxa" w:w="4608"/>
          </w:tcPr>
          <w:p>
            <w:r/>
            <w:r>
              <w:rPr>
                <w:sz w:val="20"/>
              </w:rPr>
              <w:t>localStorage studentToken</w:t>
            </w:r>
          </w:p>
        </w:tc>
        <w:tc>
          <w:tcPr>
            <w:tcW w:type="dxa" w:w="5184"/>
          </w:tcPr>
          <w:p>
            <w:r/>
            <w:r>
              <w:rPr>
                <w:sz w:val="20"/>
              </w:rPr>
              <w:t>AsyncStorage studentToken (same key)</w:t>
            </w:r>
          </w:p>
        </w:tc>
      </w:tr>
      <w:tr>
        <w:tc>
          <w:tcPr>
            <w:tcW w:type="dxa" w:w="4608"/>
          </w:tcPr>
          <w:p>
            <w:r/>
            <w:r>
              <w:rPr>
                <w:sz w:val="20"/>
              </w:rPr>
              <w:t>react-hot-toast</w:t>
            </w:r>
          </w:p>
        </w:tc>
        <w:tc>
          <w:tcPr>
            <w:tcW w:type="dxa" w:w="5184"/>
          </w:tcPr>
          <w:p>
            <w:r/>
            <w:r>
              <w:rPr>
                <w:sz w:val="20"/>
              </w:rPr>
              <w:t>Native toast utility (ToastAndroid / Alert)</w:t>
            </w:r>
          </w:p>
        </w:tc>
      </w:tr>
    </w:tbl>
    <w:p/>
    <w:p>
      <w:pPr>
        <w:pStyle w:val="Heading2"/>
      </w:pPr>
      <w:r>
        <w:t>7.3 Project Structure</w:t>
      </w:r>
    </w:p>
    <w:p>
      <w:pPr>
        <w:spacing w:after="0" w:before="0"/>
      </w:pPr>
      <w:r>
        <w:rPr>
          <w:rFonts w:ascii="Consolas" w:hAnsi="Consolas"/>
          <w:color w:val="303030"/>
          <w:sz w:val="18"/>
        </w:rPr>
        <w:t>student-mobile/</w:t>
      </w:r>
    </w:p>
    <w:p>
      <w:pPr>
        <w:spacing w:after="0" w:before="0"/>
      </w:pPr>
      <w:r>
        <w:rPr>
          <w:rFonts w:ascii="Consolas" w:hAnsi="Consolas"/>
          <w:color w:val="303030"/>
          <w:sz w:val="18"/>
        </w:rPr>
        <w:t xml:space="preserve">  App.js                  # Root: font loading + native-stack navigator</w:t>
      </w:r>
    </w:p>
    <w:p>
      <w:pPr>
        <w:spacing w:after="0" w:before="0"/>
      </w:pPr>
      <w:r>
        <w:rPr>
          <w:rFonts w:ascii="Consolas" w:hAnsi="Consolas"/>
          <w:color w:val="303030"/>
          <w:sz w:val="18"/>
        </w:rPr>
        <w:t xml:space="preserve">  app.json                # Expo config: "Ruhuna EngRMS", brand splash, font plugin</w:t>
      </w:r>
    </w:p>
    <w:p>
      <w:pPr>
        <w:spacing w:after="0" w:before="0"/>
      </w:pPr>
      <w:r>
        <w:rPr>
          <w:rFonts w:ascii="Consolas" w:hAnsi="Consolas"/>
          <w:color w:val="303030"/>
          <w:sz w:val="18"/>
        </w:rPr>
        <w:t xml:space="preserve">  assets/fonts/           # Geist-Variable.ttf</w:t>
      </w:r>
    </w:p>
    <w:p>
      <w:pPr>
        <w:spacing w:after="0" w:before="0"/>
      </w:pPr>
      <w:r>
        <w:rPr>
          <w:rFonts w:ascii="Consolas" w:hAnsi="Consolas"/>
          <w:color w:val="303030"/>
          <w:sz w:val="18"/>
        </w:rPr>
        <w:t xml:space="preserve">  src/theme.js            # Brand palette + font family</w:t>
      </w:r>
    </w:p>
    <w:p>
      <w:pPr>
        <w:spacing w:after="0" w:before="0"/>
      </w:pPr>
      <w:r>
        <w:rPr>
          <w:rFonts w:ascii="Consolas" w:hAnsi="Consolas"/>
          <w:color w:val="303030"/>
          <w:sz w:val="18"/>
        </w:rPr>
        <w:t xml:space="preserve">  src/config.js           # API base URL (auto-detects Metro host IP)</w:t>
      </w:r>
    </w:p>
    <w:p>
      <w:pPr>
        <w:spacing w:after="0" w:before="0"/>
      </w:pPr>
      <w:r>
        <w:rPr>
          <w:rFonts w:ascii="Consolas" w:hAnsi="Consolas"/>
          <w:color w:val="303030"/>
          <w:sz w:val="18"/>
        </w:rPr>
        <w:t xml:space="preserve">  src/api.js              # axios instance, auth + student endpoints</w:t>
      </w:r>
    </w:p>
    <w:p>
      <w:pPr>
        <w:spacing w:after="0" w:before="0"/>
      </w:pPr>
      <w:r>
        <w:rPr>
          <w:rFonts w:ascii="Consolas" w:hAnsi="Consolas"/>
          <w:color w:val="303030"/>
          <w:sz w:val="18"/>
        </w:rPr>
        <w:t xml:space="preserve">  src/toast.js            # Toast stand-in for react-hot-toast</w:t>
      </w:r>
    </w:p>
    <w:p>
      <w:pPr>
        <w:spacing w:after="0" w:before="0"/>
      </w:pPr>
      <w:r>
        <w:rPr>
          <w:rFonts w:ascii="Consolas" w:hAnsi="Consolas"/>
          <w:color w:val="303030"/>
          <w:sz w:val="18"/>
        </w:rPr>
        <w:t xml:space="preserve">  src/utils.js            # timeAgo / grade helpers (same logic as web)</w:t>
      </w:r>
    </w:p>
    <w:p>
      <w:pPr>
        <w:spacing w:after="0" w:before="0"/>
      </w:pPr>
      <w:r>
        <w:rPr>
          <w:rFonts w:ascii="Consolas" w:hAnsi="Consolas"/>
          <w:color w:val="303030"/>
          <w:sz w:val="18"/>
        </w:rPr>
        <w:t xml:space="preserve">  src/components/         # BrandButton, BrandInput, Badge, Card, SidebarDrawer</w:t>
      </w:r>
    </w:p>
    <w:p>
      <w:pPr>
        <w:spacing w:after="0" w:before="0"/>
      </w:pPr>
      <w:r>
        <w:rPr>
          <w:rFonts w:ascii="Consolas" w:hAnsi="Consolas"/>
          <w:color w:val="303030"/>
          <w:sz w:val="18"/>
        </w:rPr>
        <w:t xml:space="preserve">  src/screens/            # LoginScreen, ChangePasswordScreen, DashboardScreen</w:t>
      </w:r>
    </w:p>
    <w:p/>
    <w:p>
      <w:pPr>
        <w:pStyle w:val="Heading2"/>
      </w:pPr>
      <w:r>
        <w:t>7.4 Networking</w:t>
      </w:r>
    </w:p>
    <w:p>
      <w:r>
        <w:rPr>
          <w:b w:val="0"/>
          <w:i w:val="0"/>
          <w:sz w:val="22"/>
        </w:rPr>
        <w:t>Mobile devices cannot reach a PC through "localhost". The app therefore resolves the API base URL from Expo’s Metro host (the PC running npx expo start) and points at port 3000, so no code change is needed when scanning the QR code from Expo Go. A manual override is available in src/config.js:</w:t>
      </w:r>
    </w:p>
    <w:p>
      <w:pPr>
        <w:spacing w:after="0" w:before="0"/>
      </w:pPr>
      <w:r>
        <w:rPr>
          <w:rFonts w:ascii="Consolas" w:hAnsi="Consolas"/>
          <w:color w:val="303030"/>
          <w:sz w:val="18"/>
        </w:rPr>
        <w:t>const OVERRIDE_API_URL = null;   // e.g. 'http://192.168.1.5:3000'</w:t>
      </w:r>
    </w:p>
    <w:p/>
    <w:p>
      <w:pPr>
        <w:pStyle w:val="Heading2"/>
      </w:pPr>
      <w:r>
        <w:t>7.5 Running on a Physical Phone</w:t>
      </w:r>
    </w:p>
    <w:p>
      <w:pPr>
        <w:pStyle w:val="ListNumber"/>
      </w:pPr>
      <w:r>
        <w:t>Start the backend: cd backend &amp;&amp; npm run dev (listens on 0.0.0.0:3000).</w:t>
      </w:r>
    </w:p>
    <w:p>
      <w:pPr>
        <w:pStyle w:val="ListNumber"/>
      </w:pPr>
      <w:r>
        <w:t>Start Metro: cd student-mobile &amp;&amp; npx expo start.</w:t>
      </w:r>
    </w:p>
    <w:p>
      <w:pPr>
        <w:pStyle w:val="ListNumber"/>
      </w:pPr>
      <w:r>
        <w:t>Install Expo Go on the phone and scan the terminal QR code (same Wi-Fi network).</w:t>
      </w:r>
    </w:p>
    <w:p>
      <w:pPr>
        <w:pStyle w:val="ListNumber"/>
      </w:pPr>
      <w:r>
        <w:t>Sign in with a registration number and password from 24th_Batch_Passwords.csv.</w:t>
      </w:r>
    </w:p>
    <w:p>
      <w:pPr>
        <w:pStyle w:val="Heading2"/>
      </w:pPr>
      <w:r>
        <w:t>7.6 Verification Status</w:t>
      </w:r>
    </w:p>
    <w:p>
      <w:pPr>
        <w:pStyle w:val="ListBullet"/>
      </w:pPr>
      <w:r>
        <w:t>Production JavaScript bundle compiled successfully: npx expo export --platform android (2,841 modules, Geist font embedded) — no errors.</w:t>
      </w:r>
    </w:p>
    <w:p>
      <w:pPr>
        <w:pStyle w:val="ListBullet"/>
      </w:pPr>
      <w:r>
        <w:t>On-device QA checklist captured in docs/Progress.md (Section 4 backlog).</w:t>
      </w:r>
    </w:p>
    <w:p>
      <w:pPr>
        <w:pStyle w:val="Heading1"/>
      </w:pPr>
      <w:r>
        <w:t>8. Security and Quality Assurance</w:t>
      </w:r>
    </w:p>
    <w:p>
      <w:pPr>
        <w:pStyle w:val="Heading2"/>
      </w:pPr>
      <w:r>
        <w:t>8.1 Implemented Protections</w:t>
      </w:r>
    </w:p>
    <w:p>
      <w:pPr>
        <w:pStyle w:val="ListBullet"/>
      </w:pPr>
      <w:r>
        <w:t>Prisma ORM with parameterized queries — prevents SQL injection.</w:t>
      </w:r>
    </w:p>
    <w:p>
      <w:pPr>
        <w:pStyle w:val="ListBullet"/>
      </w:pPr>
      <w:r>
        <w:t>React/RN rendering escapes output — prevents XSS.</w:t>
      </w:r>
    </w:p>
    <w:p>
      <w:pPr>
        <w:pStyle w:val="ListBullet"/>
      </w:pPr>
      <w:r>
        <w:t>bcrypt password hashing (cost factor 10).</w:t>
      </w:r>
    </w:p>
    <w:p>
      <w:pPr>
        <w:pStyle w:val="ListBullet"/>
      </w:pPr>
      <w:r>
        <w:t>JWT-based stateless sessions with per-route role guards (ADMIN / EXAMINER / STUDENT).</w:t>
      </w:r>
    </w:p>
    <w:p>
      <w:pPr>
        <w:pStyle w:val="ListBullet"/>
      </w:pPr>
      <w:r>
        <w:t>CORS enabled on the API; all secrets transmitted over authenticated requests only.</w:t>
      </w:r>
    </w:p>
    <w:p>
      <w:pPr>
        <w:pStyle w:val="Heading2"/>
      </w:pPr>
      <w:r>
        <w:t>8.2 Known Limitations / Recommendations</w:t>
      </w:r>
    </w:p>
    <w:p>
      <w:pPr>
        <w:pStyle w:val="ListNumber"/>
      </w:pPr>
      <w:r>
        <w:t>JWT secret is hardcoded in backend/src/server.js — move to an environment variable before production.</w:t>
      </w:r>
    </w:p>
    <w:p>
      <w:pPr>
        <w:pStyle w:val="ListNumber"/>
      </w:pPr>
      <w:r>
        <w:t>Add @fastify/rate-limit on login endpoints to resist brute-force attempts.</w:t>
      </w:r>
    </w:p>
    <w:p>
      <w:pPr>
        <w:pStyle w:val="ListNumber"/>
      </w:pPr>
      <w:r>
        <w:t>Add @fastify/helmet for hardened HTTP response headers.</w:t>
      </w:r>
    </w:p>
    <w:p>
      <w:pPr>
        <w:pStyle w:val="ListNumber"/>
      </w:pPr>
      <w:r>
        <w:t>Add automated tests: Vitest + Supertest for API, utility-level tests for the GPA engine, and E2E tests for the portals.</w:t>
      </w:r>
    </w:p>
    <w:p>
      <w:pPr>
        <w:pStyle w:val="Heading1"/>
      </w:pPr>
      <w:r>
        <w:t>9. Deployment</w:t>
      </w:r>
    </w:p>
    <w:p>
      <w:r>
        <w:rPr>
          <w:b w:val="0"/>
          <w:i w:val="0"/>
          <w:sz w:val="22"/>
        </w:rPr>
        <w:t>A docker-compose.yml orchestrates all three tiers for production:</w:t>
      </w:r>
    </w:p>
    <w:p>
      <w:pPr>
        <w:spacing w:after="0" w:before="0"/>
      </w:pPr>
      <w:r>
        <w:rPr>
          <w:rFonts w:ascii="Consolas" w:hAnsi="Consolas"/>
          <w:color w:val="303030"/>
          <w:sz w:val="18"/>
        </w:rPr>
        <w:t>docker compose up -d --build</w:t>
      </w:r>
    </w:p>
    <w:p>
      <w:pPr>
        <w:spacing w:after="0" w:before="0"/>
      </w:pPr>
      <w:r>
        <w:rPr>
          <w:rFonts w:ascii="Consolas" w:hAnsi="Consolas"/>
          <w:color w:val="303030"/>
          <w:sz w:val="18"/>
        </w:rPr>
        <w:t xml:space="preserve">  backend           → http://localhost:3000</w:t>
      </w:r>
    </w:p>
    <w:p>
      <w:pPr>
        <w:spacing w:after="0" w:before="0"/>
      </w:pPr>
      <w:r>
        <w:rPr>
          <w:rFonts w:ascii="Consolas" w:hAnsi="Consolas"/>
          <w:color w:val="303030"/>
          <w:sz w:val="18"/>
        </w:rPr>
        <w:t xml:space="preserve">  admin portal      → http://localhost:5173</w:t>
      </w:r>
    </w:p>
    <w:p>
      <w:pPr>
        <w:spacing w:after="0" w:before="0"/>
      </w:pPr>
      <w:r>
        <w:rPr>
          <w:rFonts w:ascii="Consolas" w:hAnsi="Consolas"/>
          <w:color w:val="303030"/>
          <w:sz w:val="18"/>
        </w:rPr>
        <w:t xml:space="preserve">  student portal    → http://localhost:5174</w:t>
      </w:r>
    </w:p>
    <w:p/>
    <w:p>
      <w:r>
        <w:rPr>
          <w:b w:val="0"/>
          <w:i w:val="0"/>
          <w:sz w:val="22"/>
        </w:rPr>
        <w:t>Each frontend builds with Vite and is served by nginx inside its container; the backend container runs the Fastify server with the Neon PostgreSQL connection string from backend/.env.</w:t>
      </w:r>
    </w:p>
    <w:p>
      <w:pPr>
        <w:pStyle w:val="Heading1"/>
      </w:pPr>
      <w:r>
        <w:t>10. Roadmap</w:t>
      </w:r>
    </w:p>
    <w:p>
      <w:pPr>
        <w:pStyle w:val="ListBullet"/>
      </w:pPr>
      <w:r>
        <w:t>On-device QA of the mobile app and a branded app icon / splash screen.</w:t>
      </w:r>
    </w:p>
    <w:p>
      <w:pPr>
        <w:pStyle w:val="ListBullet"/>
      </w:pPr>
      <w:r>
        <w:t>Standalone APK distribution via EAS Build (expo build system).</w:t>
      </w:r>
    </w:p>
    <w:p>
      <w:pPr>
        <w:pStyle w:val="ListBullet"/>
      </w:pPr>
      <w:r>
        <w:t>Push notifications for result releases using Expo Notifications.</w:t>
      </w:r>
    </w:p>
    <w:p>
      <w:pPr>
        <w:pStyle w:val="ListBullet"/>
      </w:pPr>
      <w:r>
        <w:t>Offline caching of published results on mobile.</w:t>
      </w:r>
    </w:p>
    <w:p>
      <w:pPr>
        <w:pStyle w:val="ListBullet"/>
      </w:pPr>
      <w:r>
        <w:t>Backend hardening (env-based JWT secret, rate limiting, helmet).</w:t>
      </w:r>
    </w:p>
    <w:p>
      <w:pPr>
        <w:pStyle w:val="ListBullet"/>
      </w:pPr>
      <w:r>
        <w:t>Expanded automated test coverage across API and UI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1101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1101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B8860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