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Here’s a</w:t>
      </w:r>
      <w:r>
        <w:rPr>
          <w:rFonts w:ascii="NimbusSanL" w:hAnsi="NimbusSanL" w:eastAsia="NimbusSanL"/>
          <w:b/>
          <w:i w:val="0"/>
          <w:color w:val="000000"/>
          <w:sz w:val="24"/>
        </w:rPr>
        <w:t xml:space="preserve"> 10-mark summarized answer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on</w:t>
      </w:r>
      <w:r>
        <w:rPr>
          <w:rFonts w:ascii="NimbusSanL" w:hAnsi="NimbusSanL" w:eastAsia="NimbusSanL"/>
          <w:b/>
          <w:i w:val="0"/>
          <w:color w:val="000000"/>
          <w:sz w:val="24"/>
        </w:rPr>
        <w:t xml:space="preserve"> Hebbian Learning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based on the contents of your PDF:</w:t>
      </w:r>
    </w:p>
    <w:p>
      <w:pPr>
        <w:autoSpaceDN w:val="0"/>
        <w:autoSpaceDE w:val="0"/>
        <w:widowControl/>
        <w:spacing w:line="302" w:lineRule="exact" w:before="720" w:after="0"/>
        <w:ind w:left="68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Hebbian Learning – 10 Marks Summary</w:t>
      </w:r>
    </w:p>
    <w:p>
      <w:pPr>
        <w:autoSpaceDN w:val="0"/>
        <w:autoSpaceDE w:val="0"/>
        <w:widowControl/>
        <w:spacing w:line="302" w:lineRule="exact" w:before="230" w:after="0"/>
        <w:ind w:left="68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Definition:</w:t>
      </w:r>
    </w:p>
    <w:p>
      <w:pPr>
        <w:autoSpaceDN w:val="0"/>
        <w:autoSpaceDE w:val="0"/>
        <w:widowControl/>
        <w:spacing w:line="302" w:lineRule="exact" w:before="212" w:after="0"/>
        <w:ind w:left="0" w:right="0" w:firstLine="0"/>
        <w:jc w:val="center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Hebbian Learning is a</w:t>
      </w:r>
      <w:r>
        <w:rPr>
          <w:rFonts w:ascii="NimbusSanL" w:hAnsi="NimbusSanL" w:eastAsia="NimbusSanL"/>
          <w:b/>
          <w:i w:val="0"/>
          <w:color w:val="000000"/>
          <w:sz w:val="24"/>
        </w:rPr>
        <w:t xml:space="preserve"> biologically inspired learning rule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proposed by</w:t>
      </w:r>
      <w:r>
        <w:rPr>
          <w:rFonts w:ascii="NimbusSanL" w:hAnsi="NimbusSanL" w:eastAsia="NimbusSanL"/>
          <w:b/>
          <w:i w:val="0"/>
          <w:color w:val="000000"/>
          <w:sz w:val="24"/>
        </w:rPr>
        <w:t xml:space="preserve"> Donald Hebb (1949)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. It</w:t>
      </w:r>
    </w:p>
    <w:p>
      <w:pPr>
        <w:autoSpaceDN w:val="0"/>
        <w:autoSpaceDE w:val="0"/>
        <w:widowControl/>
        <w:spacing w:line="296" w:lineRule="exact" w:before="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states:</w:t>
      </w:r>
    </w:p>
    <w:p>
      <w:pPr>
        <w:autoSpaceDN w:val="0"/>
        <w:autoSpaceDE w:val="0"/>
        <w:widowControl/>
        <w:spacing w:line="296" w:lineRule="exact" w:before="252" w:after="0"/>
        <w:ind w:left="0" w:right="0" w:firstLine="0"/>
        <w:jc w:val="left"/>
      </w:pPr>
      <w:r>
        <w:rPr>
          <w:rFonts w:ascii="NimbusSanL" w:hAnsi="NimbusSanL" w:eastAsia="NimbusSanL"/>
          <w:b w:val="0"/>
          <w:i/>
          <w:color w:val="000000"/>
          <w:sz w:val="24"/>
        </w:rPr>
        <w:t>“When a neuron A repeatedly helps fire neuron B, the connection between them strengthens.”</w:t>
      </w:r>
    </w:p>
    <w:p>
      <w:pPr>
        <w:autoSpaceDN w:val="0"/>
        <w:autoSpaceDE w:val="0"/>
        <w:widowControl/>
        <w:spacing w:line="296" w:lineRule="exact" w:before="198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Mathematically, the change in weight is: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085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732" w:after="0"/>
        <w:ind w:left="68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Working Principle:</w:t>
      </w:r>
    </w:p>
    <w:p>
      <w:pPr>
        <w:autoSpaceDN w:val="0"/>
        <w:autoSpaceDE w:val="0"/>
        <w:widowControl/>
        <w:spacing w:line="302" w:lineRule="exact" w:before="168" w:after="0"/>
        <w:ind w:left="360" w:right="0" w:firstLine="0"/>
        <w:jc w:val="left"/>
      </w:pP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4"/>
        </w:rPr>
        <w:t>Neurons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strengthen their connection when activated together.</w:t>
      </w:r>
    </w:p>
    <w:p>
      <w:pPr>
        <w:autoSpaceDN w:val="0"/>
        <w:autoSpaceDE w:val="0"/>
        <w:widowControl/>
        <w:spacing w:line="298" w:lineRule="exact" w:before="202" w:after="0"/>
        <w:ind w:left="360" w:right="0" w:firstLine="0"/>
        <w:jc w:val="left"/>
      </w:pP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In vector form: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61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572" w:after="0"/>
        <w:ind w:left="68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Key Properties:</w:t>
      </w:r>
    </w:p>
    <w:p>
      <w:pPr>
        <w:sectPr>
          <w:pgSz w:w="12240" w:h="15840"/>
          <w:pgMar w:top="720" w:right="420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36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1.</w:t>
      </w:r>
      <w:r>
        <w:rPr>
          <w:rFonts w:ascii="NimbusSanL" w:hAnsi="NimbusSanL" w:eastAsia="NimbusSanL"/>
          <w:b/>
          <w:i w:val="0"/>
          <w:color w:val="000000"/>
          <w:sz w:val="24"/>
        </w:rPr>
        <w:t>Unsupervised learning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– no need for labeled output.</w:t>
      </w:r>
    </w:p>
    <w:p>
      <w:pPr>
        <w:autoSpaceDN w:val="0"/>
        <w:autoSpaceDE w:val="0"/>
        <w:widowControl/>
        <w:spacing w:line="302" w:lineRule="exact" w:before="198" w:after="0"/>
        <w:ind w:left="36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2.</w:t>
      </w:r>
      <w:r>
        <w:rPr>
          <w:rFonts w:ascii="NimbusSanL" w:hAnsi="NimbusSanL" w:eastAsia="NimbusSanL"/>
          <w:b/>
          <w:i w:val="0"/>
          <w:color w:val="000000"/>
          <w:sz w:val="24"/>
        </w:rPr>
        <w:t>Locality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– only uses data from connected neurons.</w:t>
      </w:r>
    </w:p>
    <w:p>
      <w:pPr>
        <w:autoSpaceDN w:val="0"/>
        <w:autoSpaceDE w:val="0"/>
        <w:widowControl/>
        <w:spacing w:line="302" w:lineRule="exact" w:before="196" w:after="0"/>
        <w:ind w:left="36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3.</w:t>
      </w:r>
      <w:r>
        <w:rPr>
          <w:rFonts w:ascii="NimbusSanL" w:hAnsi="NimbusSanL" w:eastAsia="NimbusSanL"/>
          <w:b/>
          <w:i w:val="0"/>
          <w:color w:val="000000"/>
          <w:sz w:val="24"/>
        </w:rPr>
        <w:t>Biologically plausible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– aligns with observed brain behavior.</w:t>
      </w:r>
    </w:p>
    <w:p>
      <w:pPr>
        <w:autoSpaceDN w:val="0"/>
        <w:tabs>
          <w:tab w:pos="360" w:val="left"/>
        </w:tabs>
        <w:autoSpaceDE w:val="0"/>
        <w:widowControl/>
        <w:spacing w:line="474" w:lineRule="exact" w:before="626" w:after="0"/>
        <w:ind w:left="68" w:right="1872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Limitation:</w:t>
      </w:r>
      <w:r>
        <w:br/>
      </w: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4"/>
        </w:rPr>
        <w:t>Weight explosion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: Weights keep growing indefinitely unless controlled.</w:t>
      </w:r>
    </w:p>
    <w:p>
      <w:pPr>
        <w:autoSpaceDN w:val="0"/>
        <w:tabs>
          <w:tab w:pos="360" w:val="left"/>
        </w:tabs>
        <w:autoSpaceDE w:val="0"/>
        <w:widowControl/>
        <w:spacing w:line="512" w:lineRule="exact" w:before="472" w:after="0"/>
        <w:ind w:left="68" w:right="1872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 xml:space="preserve">Stabilization Techniques: </w:t>
      </w:r>
      <w:r>
        <w:br/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1.</w:t>
      </w:r>
      <w:r>
        <w:rPr>
          <w:rFonts w:ascii="NimbusSanL" w:hAnsi="NimbusSanL" w:eastAsia="NimbusSanL"/>
          <w:b/>
          <w:i w:val="0"/>
          <w:color w:val="000000"/>
          <w:sz w:val="24"/>
        </w:rPr>
        <w:t>Weight Normalization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– Normalize the weight vector after each update.</w:t>
      </w:r>
    </w:p>
    <w:p>
      <w:pPr>
        <w:autoSpaceDN w:val="0"/>
        <w:autoSpaceDE w:val="0"/>
        <w:widowControl/>
        <w:spacing w:line="302" w:lineRule="exact" w:before="196" w:after="0"/>
        <w:ind w:left="36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2.</w:t>
      </w:r>
      <w:r>
        <w:rPr>
          <w:rFonts w:ascii="NimbusSanL" w:hAnsi="NimbusSanL" w:eastAsia="NimbusSanL"/>
          <w:b/>
          <w:i w:val="0"/>
          <w:color w:val="000000"/>
          <w:sz w:val="24"/>
        </w:rPr>
        <w:t>Oja’s Rule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– Adds a decay term to prevent weight growth: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0" w:after="0"/>
        <w:ind w:left="36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3.</w:t>
      </w:r>
      <w:r>
        <w:tab/>
      </w:r>
      <w:r>
        <w:drawing>
          <wp:inline xmlns:a="http://schemas.openxmlformats.org/drawingml/2006/main" xmlns:pic="http://schemas.openxmlformats.org/drawingml/2006/picture">
            <wp:extent cx="5943600" cy="869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56" w:after="0"/>
        <w:ind w:left="720" w:right="0" w:firstLine="0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Sejnowski’s Covariance Rule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– Adjusts learning by subtracting the means.</w:t>
      </w:r>
    </w:p>
    <w:p>
      <w:pPr>
        <w:autoSpaceDN w:val="0"/>
        <w:autoSpaceDE w:val="0"/>
        <w:widowControl/>
        <w:spacing w:line="378" w:lineRule="exact" w:before="642" w:after="0"/>
        <w:ind w:left="360" w:right="144" w:hanging="292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Relation to PCA:</w:t>
      </w:r>
      <w:r>
        <w:br/>
      </w: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Hebbian learning aligns the weight vector to the</w:t>
      </w:r>
      <w:r>
        <w:rPr>
          <w:rFonts w:ascii="NimbusSanL" w:hAnsi="NimbusSanL" w:eastAsia="NimbusSanL"/>
          <w:b/>
          <w:i w:val="0"/>
          <w:color w:val="000000"/>
          <w:sz w:val="24"/>
        </w:rPr>
        <w:t xml:space="preserve"> direction of maximum variance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 xml:space="preserve">in the 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data.</w:t>
      </w:r>
    </w:p>
    <w:p>
      <w:pPr>
        <w:autoSpaceDN w:val="0"/>
        <w:autoSpaceDE w:val="0"/>
        <w:widowControl/>
        <w:spacing w:line="302" w:lineRule="exact" w:before="254" w:after="0"/>
        <w:ind w:left="360" w:right="0" w:firstLine="0"/>
        <w:jc w:val="left"/>
      </w:pP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This is the</w:t>
      </w:r>
      <w:r>
        <w:rPr>
          <w:rFonts w:ascii="NimbusSanL" w:hAnsi="NimbusSanL" w:eastAsia="NimbusSanL"/>
          <w:b/>
          <w:i w:val="0"/>
          <w:color w:val="000000"/>
          <w:sz w:val="24"/>
        </w:rPr>
        <w:t xml:space="preserve"> first principal component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in</w:t>
      </w:r>
      <w:r>
        <w:rPr>
          <w:rFonts w:ascii="NimbusSanL" w:hAnsi="NimbusSanL" w:eastAsia="NimbusSanL"/>
          <w:b/>
          <w:i w:val="0"/>
          <w:color w:val="000000"/>
          <w:sz w:val="24"/>
        </w:rPr>
        <w:t xml:space="preserve"> Principal Component Analysis (PCA)</w:t>
      </w:r>
      <w:r>
        <w:rPr>
          <w:rFonts w:ascii="NimbusSanL" w:hAnsi="NimbusSanL" w:eastAsia="NimbusSan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92" w:lineRule="exact" w:before="566" w:after="0"/>
        <w:ind w:left="360" w:right="3888" w:hanging="292"/>
        <w:jc w:val="left"/>
      </w:pPr>
      <w:r>
        <w:rPr>
          <w:rFonts w:ascii="NimbusSanL" w:hAnsi="NimbusSanL" w:eastAsia="NimbusSanL"/>
          <w:b/>
          <w:i w:val="0"/>
          <w:color w:val="000000"/>
          <w:sz w:val="24"/>
        </w:rPr>
        <w:t>Applications:</w:t>
      </w:r>
      <w:r>
        <w:br/>
      </w: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4"/>
        </w:rPr>
        <w:t>Neural modeling</w:t>
      </w:r>
      <w:r>
        <w:br/>
      </w: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4"/>
        </w:rPr>
        <w:t>Feature extraction</w:t>
      </w:r>
      <w:r>
        <w:br/>
      </w: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4"/>
        </w:rPr>
        <w:t>Principal component learning</w:t>
      </w:r>
      <w:r>
        <w:br/>
      </w:r>
      <w:r>
        <w:rPr>
          <w:w w:val="101.00000381469727"/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SanL" w:hAnsi="NimbusSanL" w:eastAsia="NimbusSanL"/>
          <w:b/>
          <w:i w:val="0"/>
          <w:color w:val="000000"/>
          <w:sz w:val="24"/>
        </w:rPr>
        <w:t>Visual system simulations (e.g., Linsker’s model)</w:t>
      </w:r>
    </w:p>
    <w:p>
      <w:pPr>
        <w:sectPr>
          <w:pgSz w:w="12240" w:h="15840"/>
          <w:pgMar w:top="680" w:right="700" w:bottom="8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0" w:right="0" w:firstLine="0"/>
        <w:jc w:val="left"/>
      </w:pPr>
      <w:r>
        <w:rPr>
          <w:rFonts w:ascii="NimbusSanL" w:hAnsi="NimbusSanL" w:eastAsia="NimbusSanL"/>
          <w:b w:val="0"/>
          <w:i w:val="0"/>
          <w:color w:val="000000"/>
          <w:sz w:val="24"/>
        </w:rPr>
        <w:t>Let me know if you’d like diagrams or a handwritten-style version for class notes!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88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08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