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5070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163 Seats Changed Hands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6"/>
              </w:rPr>
              <w:t>An Editorial Intelligence Brief for AtliQ Media</w:t>
            </w:r>
          </w:p>
          <w:p>
            <w:pPr>
              <w:jc w:val="center"/>
            </w:pPr>
            <w:r>
              <w:rPr>
                <w:rFonts w:ascii="Arial" w:hAnsi="Arial"/>
                <w:color w:val="CBD5E1"/>
                <w:sz w:val="18"/>
              </w:rPr>
              <w:t>Codebasics Resume Project Challenge #21 | Prepared by Chaturparsad Baijnath</w:t>
            </w:r>
          </w:p>
        </w:tc>
      </w:tr>
    </w:tbl>
    <w:p>
      <w:pPr>
        <w:jc w:val="left"/>
      </w:pPr>
      <w:r>
        <w:rPr>
          <w:rFonts w:ascii="Arial" w:hAnsi="Arial"/>
          <w:color w:val="111827"/>
          <w:sz w:val="19"/>
        </w:rPr>
        <w:t>This report supports the PowerPoint stakeholder deck and dashboard. The PowerPoint is the main video-presentation file; this document records the method, findings, neutrality discipline, and editorial recommendation.</w:t>
      </w:r>
    </w:p>
    <w:p>
      <w:r>
        <w:rPr>
          <w:rFonts w:ascii="Arial" w:hAnsi="Arial"/>
          <w:b/>
          <w:color w:val="111827"/>
          <w:sz w:val="30"/>
        </w:rPr>
        <w:t>Executive Summary</w:t>
      </w:r>
    </w:p>
    <w:p>
      <w:pPr>
        <w:jc w:val="left"/>
      </w:pPr>
      <w:r>
        <w:rPr>
          <w:rFonts w:ascii="Arial" w:hAnsi="Arial"/>
          <w:color w:val="111827"/>
          <w:sz w:val="19"/>
        </w:rPr>
        <w:t>For AtliQ Media, the strongest story is not a party-by-party recap. It is a neutral, data-backed editorial structure built around one headline and three supporting signals.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3600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Headline finding</w:t>
            </w:r>
          </w:p>
        </w:tc>
        <w:tc>
          <w:tcPr>
            <w:tcW w:type="dxa" w:w="4464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Editorial use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Scale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163 of 234 constituencies changed winning party</w:t>
            </w:r>
          </w:p>
        </w:tc>
        <w:tc>
          <w:tcPr>
            <w:tcW w:type="dxa" w:w="446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Opening chapter: establish the size of the winner-map change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Geography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Chennai Metro had 30 of 32 seats change hands</w:t>
            </w:r>
          </w:p>
        </w:tc>
        <w:tc>
          <w:tcPr>
            <w:tcW w:type="dxa" w:w="446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Regional chapter: show where the change was clearest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Competitiveness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103 seats were won by under 5 percentage points</w:t>
            </w:r>
          </w:p>
        </w:tc>
        <w:tc>
          <w:tcPr>
            <w:tcW w:type="dxa" w:w="446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Close-contest chapter: explain the texture of the result</w:t>
            </w:r>
          </w:p>
        </w:tc>
      </w:tr>
    </w:tbl>
    <w:p/>
    <w:p>
      <w:r>
        <w:rPr>
          <w:rFonts w:ascii="Arial" w:hAnsi="Arial"/>
          <w:b/>
          <w:color w:val="111827"/>
          <w:sz w:val="30"/>
        </w:rPr>
        <w:t>1. Client Brief and Analytical Positioning</w:t>
      </w:r>
    </w:p>
    <w:p>
      <w:pPr>
        <w:jc w:val="left"/>
      </w:pPr>
      <w:r>
        <w:rPr>
          <w:rFonts w:ascii="Arial" w:hAnsi="Arial"/>
          <w:color w:val="111827"/>
          <w:sz w:val="19"/>
        </w:rPr>
        <w:t>AtliQ Media needs a one-hour, fact-based results show using official election result data. The brief does not ask for political commentary, voter-motive explanations, or predictions. The analysis therefore focuses only on observable constituency-level result patterns.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Use official result data and starter-pack fields only for the core story.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Frame findings in a way a general viewer can understand.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Avoid causal claims, political praise, blame, or speculation.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Translate analysis into a practical one-hour editorial rundown.</w:t>
      </w:r>
    </w:p>
    <w:p>
      <w:r>
        <w:rPr>
          <w:rFonts w:ascii="Arial" w:hAnsi="Arial"/>
          <w:b/>
          <w:color w:val="111827"/>
          <w:sz w:val="30"/>
        </w:rPr>
        <w:t>2. Methodology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Assembly Constituency number was used as the joining key across 2021, 2026, and the constituency master file.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For each constituency, the winner was defined as the candidate with the highest vote count.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Winner party in 2021 was compared with winner party in 2026 to classify each seat as Changed or Retained.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Victory margin was calculated as winner votes minus runner-up votes.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Margin percentage was calculated against the constituency vote total represented in the starter-pack result rows.</w:t>
      </w:r>
    </w:p>
    <w:p>
      <w:r>
        <w:rPr>
          <w:rFonts w:ascii="Arial" w:hAnsi="Arial"/>
          <w:b/>
          <w:color w:val="111827"/>
          <w:sz w:val="30"/>
        </w:rPr>
        <w:t>3. Signal 1 — Scale of Change</w:t>
      </w:r>
    </w:p>
    <w:p>
      <w:pPr>
        <w:jc w:val="left"/>
      </w:pPr>
      <w:r>
        <w:rPr>
          <w:rFonts w:ascii="Arial" w:hAnsi="Arial"/>
          <w:color w:val="111827"/>
          <w:sz w:val="19"/>
        </w:rPr>
        <w:t>The first editorial signal is the scale of the result-map change. Out of 234 constituencies, 163 changed winning party between 2021 and 2026, while 71 retained the same winning party.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3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Total constituencies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234</w:t>
            </w:r>
          </w:p>
        </w:tc>
      </w:tr>
      <w:tr>
        <w:tc>
          <w:tcPr>
            <w:tcW w:type="dxa" w:w="43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Changed winning party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163</w:t>
            </w:r>
          </w:p>
        </w:tc>
      </w:tr>
      <w:tr>
        <w:tc>
          <w:tcPr>
            <w:tcW w:type="dxa" w:w="43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Retained winning party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71</w:t>
            </w:r>
          </w:p>
        </w:tc>
      </w:tr>
    </w:tbl>
    <w:p/>
    <w:p>
      <w:r>
        <w:rPr>
          <w:rFonts w:ascii="Arial" w:hAnsi="Arial"/>
          <w:b/>
          <w:color w:val="111827"/>
          <w:sz w:val="30"/>
        </w:rPr>
        <w:t>4. Signal 2 — Geography of Change</w:t>
      </w:r>
    </w:p>
    <w:p>
      <w:pPr>
        <w:jc w:val="left"/>
      </w:pPr>
      <w:r>
        <w:rPr>
          <w:rFonts w:ascii="Arial" w:hAnsi="Arial"/>
          <w:color w:val="111827"/>
          <w:sz w:val="19"/>
        </w:rPr>
        <w:t>The change was statewide, but not evenly distributed. Chennai Metro provides the cleanest regional example for a general TV audience.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Region</w:t>
            </w:r>
          </w:p>
        </w:tc>
        <w:tc>
          <w:tcPr>
            <w:tcW w:type="dxa" w:w="2592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Changed / Total</w:t>
            </w:r>
          </w:p>
        </w:tc>
        <w:tc>
          <w:tcPr>
            <w:tcW w:type="dxa" w:w="2016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% Changed</w:t>
            </w:r>
          </w:p>
        </w:tc>
      </w:tr>
      <w:tr>
        <w:tc>
          <w:tcPr>
            <w:tcW w:type="dxa" w:w="31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Chennai Metro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30 / 32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93.8%</w:t>
            </w:r>
          </w:p>
        </w:tc>
      </w:tr>
      <w:tr>
        <w:tc>
          <w:tcPr>
            <w:tcW w:type="dxa" w:w="31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Kongu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27 / 33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81.8%</w:t>
            </w:r>
          </w:p>
        </w:tc>
      </w:tr>
      <w:tr>
        <w:tc>
          <w:tcPr>
            <w:tcW w:type="dxa" w:w="31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North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27 / 37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73.0%</w:t>
            </w:r>
          </w:p>
        </w:tc>
      </w:tr>
      <w:tr>
        <w:tc>
          <w:tcPr>
            <w:tcW w:type="dxa" w:w="31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South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38 / 58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65.5%</w:t>
            </w:r>
          </w:p>
        </w:tc>
      </w:tr>
      <w:tr>
        <w:tc>
          <w:tcPr>
            <w:tcW w:type="dxa" w:w="31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Central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26 / 41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63.4%</w:t>
            </w:r>
          </w:p>
        </w:tc>
      </w:tr>
      <w:tr>
        <w:tc>
          <w:tcPr>
            <w:tcW w:type="dxa" w:w="31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Delta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15 / 33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45.5%</w:t>
            </w:r>
          </w:p>
        </w:tc>
      </w:tr>
    </w:tbl>
    <w:p/>
    <w:p>
      <w:pPr>
        <w:jc w:val="left"/>
      </w:pPr>
      <w:r>
        <w:rPr>
          <w:rFonts w:ascii="Arial" w:hAnsi="Arial"/>
          <w:color w:val="111827"/>
          <w:sz w:val="19"/>
        </w:rPr>
        <w:t>Chennai Metro spotlight: DMK won 29 of 32 seats in 2021, while TVK won 29 of 32 in 2026. This is a before-and-after winner-map story, not a causal explanation.</w:t>
      </w:r>
    </w:p>
    <w:p>
      <w:r>
        <w:rPr>
          <w:rFonts w:ascii="Arial" w:hAnsi="Arial"/>
          <w:b/>
          <w:color w:val="111827"/>
          <w:sz w:val="30"/>
        </w:rPr>
        <w:t>5. Signal 3 — Competitiveness of Wins</w:t>
      </w:r>
    </w:p>
    <w:p>
      <w:pPr>
        <w:jc w:val="left"/>
      </w:pPr>
      <w:r>
        <w:rPr>
          <w:rFonts w:ascii="Arial" w:hAnsi="Arial"/>
          <w:color w:val="111827"/>
          <w:sz w:val="19"/>
        </w:rPr>
        <w:t>The 2026 result was not only different in terms of which party won where. It also produced narrower margins and more close contests.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4320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728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2021</w:t>
            </w:r>
          </w:p>
        </w:tc>
        <w:tc>
          <w:tcPr>
            <w:tcW w:type="dxa" w:w="1728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2026</w:t>
            </w:r>
          </w:p>
        </w:tc>
      </w:tr>
      <w:tr>
        <w:tc>
          <w:tcPr>
            <w:tcW w:type="dxa" w:w="43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Average victory margin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22,871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16,784</w:t>
            </w:r>
          </w:p>
        </w:tc>
      </w:tr>
      <w:tr>
        <w:tc>
          <w:tcPr>
            <w:tcW w:type="dxa" w:w="43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Median victory margin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19,131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11,416</w:t>
            </w:r>
          </w:p>
        </w:tc>
      </w:tr>
      <w:tr>
        <w:tc>
          <w:tcPr>
            <w:tcW w:type="dxa" w:w="43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Seats won by &lt;5 percentage points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67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103</w:t>
            </w:r>
          </w:p>
        </w:tc>
      </w:tr>
      <w:tr>
        <w:tc>
          <w:tcPr>
            <w:tcW w:type="dxa" w:w="432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Closest 2026 contest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Tiruppattur: 1 vote</w:t>
            </w:r>
          </w:p>
        </w:tc>
      </w:tr>
    </w:tbl>
    <w:p/>
    <w:p>
      <w:r>
        <w:rPr>
          <w:rFonts w:ascii="Arial" w:hAnsi="Arial"/>
          <w:b/>
          <w:color w:val="111827"/>
          <w:sz w:val="30"/>
        </w:rPr>
        <w:t>6. AtliQ 3-Signal Editorial Framework</w:t>
      </w:r>
    </w:p>
    <w:p>
      <w:pPr>
        <w:jc w:val="left"/>
      </w:pPr>
      <w:r>
        <w:rPr>
          <w:rFonts w:ascii="Arial" w:hAnsi="Arial"/>
          <w:color w:val="111827"/>
          <w:sz w:val="19"/>
        </w:rPr>
        <w:t>The proposed framework is: Scale -&gt; Geography -&gt; Competitiveness. This converts raw election results into a practical editorial structure. It is designed to help AtliQ decide what deserves airtime and in what sequence.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Show chapter</w:t>
            </w:r>
          </w:p>
        </w:tc>
        <w:tc>
          <w:tcPr>
            <w:tcW w:type="dxa" w:w="4752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Question answered</w:t>
            </w:r>
          </w:p>
        </w:tc>
        <w:tc>
          <w:tcPr>
            <w:tcW w:type="dxa" w:w="2304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Recommended airtime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Chapter 1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How much changed?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0-15 min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Chapter 2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Where did the map change most?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15-35 min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Chapter 3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How close were the wins?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35-55 min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Close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What can and cannot be concluded?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55-60 min</w:t>
            </w:r>
          </w:p>
        </w:tc>
      </w:tr>
    </w:tbl>
    <w:p/>
    <w:p>
      <w:r>
        <w:rPr>
          <w:rFonts w:ascii="Arial" w:hAnsi="Arial"/>
          <w:b/>
          <w:color w:val="111827"/>
          <w:sz w:val="30"/>
        </w:rPr>
        <w:t>7. Broadcast Priority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312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</w:t>
            </w:r>
          </w:p>
        </w:tc>
        <w:tc>
          <w:tcPr>
            <w:tcW w:type="dxa" w:w="2016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Audience clarity</w:t>
            </w:r>
          </w:p>
        </w:tc>
        <w:tc>
          <w:tcPr>
            <w:tcW w:type="dxa" w:w="2448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Data strength</w:t>
            </w:r>
          </w:p>
        </w:tc>
        <w:tc>
          <w:tcPr>
            <w:tcW w:type="dxa" w:w="3312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163 seats changed hands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Lead story</w:t>
            </w:r>
          </w:p>
        </w:tc>
      </w:tr>
      <w:tr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Chennai Metro redraw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Main regional example</w:t>
            </w:r>
          </w:p>
        </w:tc>
      </w:tr>
      <w:tr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Close contests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Main competitiveness segment</w:t>
            </w:r>
          </w:p>
        </w:tc>
      </w:tr>
      <w:tr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Turnout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Requires external validation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Optional / exclude if not fully validated</w:t>
            </w:r>
          </w:p>
        </w:tc>
      </w:tr>
      <w:tr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Causal explanations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Low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Not supported by starter data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Exclude</w:t>
            </w:r>
          </w:p>
        </w:tc>
      </w:tr>
    </w:tbl>
    <w:p/>
    <w:p>
      <w:r>
        <w:rPr>
          <w:rFonts w:ascii="Arial" w:hAnsi="Arial"/>
          <w:b/>
          <w:color w:val="111827"/>
          <w:sz w:val="30"/>
        </w:rPr>
        <w:t>8. What the Data Can and Cannot Say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96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This analysis can say</w:t>
            </w:r>
          </w:p>
        </w:tc>
        <w:tc>
          <w:tcPr>
            <w:tcW w:type="dxa" w:w="4896"/>
            <w:shd w:fill="2563EB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This analysis cannot say</w:t>
            </w:r>
          </w:p>
        </w:tc>
      </w:tr>
      <w:tr>
        <w:tc>
          <w:tcPr>
            <w:tcW w:type="dxa" w:w="489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Which party won each constituency</w:t>
            </w:r>
          </w:p>
        </w:tc>
        <w:tc>
          <w:tcPr>
            <w:tcW w:type="dxa" w:w="489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Why voters made those choices</w:t>
            </w:r>
          </w:p>
        </w:tc>
      </w:tr>
      <w:tr>
        <w:tc>
          <w:tcPr>
            <w:tcW w:type="dxa" w:w="489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Which winning parties changed between 2021 and 2026</w:t>
            </w:r>
          </w:p>
        </w:tc>
        <w:tc>
          <w:tcPr>
            <w:tcW w:type="dxa" w:w="489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That individual voters moved from one party to another</w:t>
            </w:r>
          </w:p>
        </w:tc>
      </w:tr>
      <w:tr>
        <w:tc>
          <w:tcPr>
            <w:tcW w:type="dxa" w:w="489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How regional winner maps changed</w:t>
            </w:r>
          </w:p>
        </w:tc>
        <w:tc>
          <w:tcPr>
            <w:tcW w:type="dxa" w:w="489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Causal explanations for gains or losses</w:t>
            </w:r>
          </w:p>
        </w:tc>
      </w:tr>
      <w:tr>
        <w:tc>
          <w:tcPr>
            <w:tcW w:type="dxa" w:w="489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How victory margins changed</w:t>
            </w:r>
          </w:p>
        </w:tc>
        <w:tc>
          <w:tcPr>
            <w:tcW w:type="dxa" w:w="489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Predictions about future elections</w:t>
            </w:r>
          </w:p>
        </w:tc>
      </w:tr>
    </w:tbl>
    <w:p/>
    <w:p>
      <w:r>
        <w:rPr>
          <w:rFonts w:ascii="Arial" w:hAnsi="Arial"/>
          <w:b/>
          <w:color w:val="111827"/>
          <w:sz w:val="30"/>
        </w:rPr>
        <w:t>9. Source and Validation Notes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The 2026 starter-pack data was prepared from the ECI live results portal.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The starter-pack metadata notes that final audited Form 20 data had not yet been released when the starter file was prepared.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Before broadcast or publication use, figures should be checked against final AC-level Form 20 data where available.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The core story intentionally avoids external demographic, media, or opinion-poll claims.</w:t>
      </w:r>
    </w:p>
    <w:p>
      <w:r>
        <w:rPr>
          <w:rFonts w:ascii="Arial" w:hAnsi="Arial"/>
          <w:b/>
          <w:color w:val="111827"/>
          <w:sz w:val="30"/>
        </w:rPr>
        <w:t>10. Deliverables Guide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PowerPoint deck: the primary presentation file for the 5-7 minute video walkthrough.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Excel workbook: the calculation base, including KPI checks, regional tables, flip flows, and margin analysis.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Dashboard: supporting interactive review tool.</w:t>
      </w:r>
    </w:p>
    <w:p>
      <w:pPr>
        <w:ind w:left="360" w:hanging="202"/>
      </w:pPr>
      <w:r>
        <w:rPr>
          <w:rFonts w:ascii="Arial" w:hAnsi="Arial"/>
          <w:color w:val="111827"/>
          <w:sz w:val="19"/>
        </w:rPr>
        <w:t>• DOCX report: methodology and case-study documentation.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4"/>
      </w:rPr>
      <w:t>Tamil Nadu 2026 Editorial Intelligence Brief | Prepared by Chaturparsad Baijnath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