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6C84" w:rsidRDefault="00000000">
      <w:pPr>
        <w:shd w:val="clear" w:color="auto" w:fill="1F3864"/>
        <w:spacing w:before="480" w:after="120"/>
        <w:jc w:val="center"/>
      </w:pPr>
      <w:r>
        <w:rPr>
          <w:b/>
          <w:bCs/>
          <w:color w:val="FFFFFF"/>
          <w:sz w:val="40"/>
          <w:szCs w:val="40"/>
        </w:rPr>
        <w:t>NIST CSF 2.0 GAP ASSESSMENT</w:t>
      </w:r>
    </w:p>
    <w:p w:rsidR="002C6C84" w:rsidRDefault="00000000">
      <w:pPr>
        <w:shd w:val="clear" w:color="auto" w:fill="1F3864"/>
        <w:spacing w:after="120"/>
        <w:jc w:val="center"/>
      </w:pPr>
      <w:r>
        <w:rPr>
          <w:color w:val="FFFFFF"/>
          <w:sz w:val="28"/>
          <w:szCs w:val="28"/>
        </w:rPr>
        <w:t>Executive Summary</w:t>
      </w:r>
    </w:p>
    <w:p w:rsidR="002C6C84" w:rsidRDefault="00000000">
      <w:pPr>
        <w:shd w:val="clear" w:color="auto" w:fill="1F3864"/>
        <w:spacing w:after="480"/>
        <w:jc w:val="center"/>
      </w:pPr>
      <w:r>
        <w:rPr>
          <w:color w:val="DCE6F1"/>
        </w:rPr>
        <w:t>Log(N) Pacific  |  Prepared by Chau Pham  |  Ju</w:t>
      </w:r>
      <w:proofErr w:type="spellStart"/>
      <w:r w:rsidR="00BC7AA8">
        <w:rPr>
          <w:color w:val="DCE6F1"/>
          <w:lang w:val="en-US"/>
        </w:rPr>
        <w:t>ly</w:t>
      </w:r>
      <w:proofErr w:type="spellEnd"/>
      <w:r>
        <w:rPr>
          <w:color w:val="DCE6F1"/>
        </w:rPr>
        <w:t xml:space="preserve"> 2026</w:t>
      </w:r>
    </w:p>
    <w:p w:rsidR="002C6C84" w:rsidRDefault="00000000">
      <w:pPr>
        <w:pStyle w:val="Heading1"/>
        <w:pBdr>
          <w:bottom w:val="single" w:sz="6" w:space="0" w:color="1F3864"/>
        </w:pBdr>
        <w:spacing w:before="320" w:after="120"/>
        <w:rPr>
          <w:b/>
          <w:bCs/>
          <w:color w:val="1F3864"/>
          <w:sz w:val="28"/>
          <w:szCs w:val="28"/>
        </w:rPr>
      </w:pPr>
      <w:r>
        <w:t>1. Purpose and Scope</w:t>
      </w:r>
    </w:p>
    <w:p w:rsidR="002C6C84" w:rsidRDefault="00000000">
      <w:pPr>
        <w:spacing w:before="80" w:after="80"/>
      </w:pPr>
      <w:r>
        <w:rPr>
          <w:color w:val="595959"/>
        </w:rPr>
        <w:t>This assessment evaluated Log(N) Pacific's security posture against the NIST Cybersecurity Framework 2.0 across all six functions: Govern, Identify, Protect, Detect, Respond, and Recover. The scope covers the company as a whole, including the Azure-hosted Cyber Range platform, company-owned infrastructure, and the admin team's operational practices. The assessment draws on the Cyber Range Architecture and Engineering Document, responses from Josh Madakor, owner of Log(N) Pacific, and publicly available platform information.</w:t>
      </w:r>
    </w:p>
    <w:p w:rsidR="002C6C84" w:rsidRDefault="00000000">
      <w:pPr>
        <w:pStyle w:val="Heading1"/>
        <w:pBdr>
          <w:bottom w:val="single" w:sz="6" w:space="0" w:color="1F3864"/>
        </w:pBdr>
        <w:spacing w:before="320" w:after="120"/>
        <w:rPr>
          <w:b/>
          <w:bCs/>
          <w:color w:val="1F3864"/>
          <w:sz w:val="28"/>
          <w:szCs w:val="28"/>
        </w:rPr>
      </w:pPr>
      <w:r>
        <w:t>2. Overall Maturity Snapshot</w:t>
      </w:r>
    </w:p>
    <w:p w:rsidR="002C6C84" w:rsidRDefault="00000000">
      <w:pPr>
        <w:spacing w:before="80" w:after="80"/>
      </w:pPr>
      <w:r>
        <w:rPr>
          <w:color w:val="595959"/>
        </w:rPr>
        <w:t>Log(N) Pacific has a stronger security posture than most companies of comparable size. The platform was built with security in mind from the start, with MFA enforced across all accounts, automated provisioning and deprovisioning tied to Skool membership, a documented warm standby recovery architecture that has been activated and tested, and a fully built log aggregation pipeline feeding Sentinel. The company has also demonstrated real incident response capability through the Chinese attacker incident, following NIST SP 800-61 and driving concrete security improvements as a result.</w:t>
      </w:r>
    </w:p>
    <w:p w:rsidR="002C6C84" w:rsidRDefault="00000000">
      <w:pPr>
        <w:spacing w:before="80" w:after="80"/>
      </w:pPr>
      <w:r>
        <w:rPr>
          <w:color w:val="595959"/>
        </w:rPr>
        <w:t>The primary gaps are not technical weaknesses. They are documentation gaps, specifically the absence of written procedures that would allow the team to operate consistently without Josh Madakor. The most critical finding in this assessment is that the company's security capability is strong but concentrated in one person. As the company grows, this becomes an increasing risk.</w:t>
      </w:r>
    </w:p>
    <w:p w:rsidR="002C6C84" w:rsidRDefault="00000000">
      <w:pPr>
        <w:pStyle w:val="Heading1"/>
        <w:pBdr>
          <w:bottom w:val="single" w:sz="6" w:space="0" w:color="1F3864"/>
        </w:pBdr>
        <w:spacing w:before="320" w:after="120"/>
        <w:rPr>
          <w:b/>
          <w:bCs/>
          <w:color w:val="1F3864"/>
          <w:sz w:val="28"/>
          <w:szCs w:val="28"/>
        </w:rPr>
      </w:pPr>
      <w:r>
        <w:t>3. Key Strengths</w:t>
      </w:r>
    </w:p>
    <w:p w:rsidR="002C6C84" w:rsidRDefault="00000000">
      <w:pPr>
        <w:pStyle w:val="ListParagraph"/>
        <w:numPr>
          <w:ilvl w:val="0"/>
          <w:numId w:val="2"/>
        </w:numPr>
        <w:spacing w:before="60" w:after="60"/>
      </w:pPr>
      <w:r>
        <w:rPr>
          <w:color w:val="595959"/>
        </w:rPr>
        <w:t>MFA is enforced platform-wide across all accounts including students and admins, with no exceptions.</w:t>
      </w:r>
    </w:p>
    <w:p w:rsidR="002C6C84" w:rsidRDefault="00000000">
      <w:pPr>
        <w:pStyle w:val="ListParagraph"/>
        <w:numPr>
          <w:ilvl w:val="0"/>
          <w:numId w:val="2"/>
        </w:numPr>
        <w:spacing w:before="60" w:after="60"/>
      </w:pPr>
      <w:r>
        <w:rPr>
          <w:color w:val="595959"/>
        </w:rPr>
        <w:t>Student account provisioning and deprovisioning is fully automated through the Azure Function tied to Skool membership, eliminating manual errors.</w:t>
      </w:r>
    </w:p>
    <w:p w:rsidR="002C6C84" w:rsidRDefault="00000000">
      <w:pPr>
        <w:pStyle w:val="ListParagraph"/>
        <w:numPr>
          <w:ilvl w:val="0"/>
          <w:numId w:val="2"/>
        </w:numPr>
        <w:spacing w:before="60" w:after="60"/>
      </w:pPr>
      <w:r>
        <w:rPr>
          <w:color w:val="595959"/>
        </w:rPr>
        <w:t>The Cyber Range's intentionally open and vulnerable design is a deliberate, documented, and publicly understood architectural decision, not a security gap.</w:t>
      </w:r>
    </w:p>
    <w:p w:rsidR="002C6C84" w:rsidRDefault="00000000">
      <w:pPr>
        <w:pStyle w:val="ListParagraph"/>
        <w:numPr>
          <w:ilvl w:val="0"/>
          <w:numId w:val="2"/>
        </w:numPr>
        <w:spacing w:before="60" w:after="60"/>
      </w:pPr>
      <w:r>
        <w:rPr>
          <w:color w:val="595959"/>
        </w:rPr>
        <w:t>The warm standby recovery architecture has been built, maintained in parallel, and confirmed as tested.</w:t>
      </w:r>
    </w:p>
    <w:p w:rsidR="002C6C84" w:rsidRDefault="00000000">
      <w:pPr>
        <w:pStyle w:val="ListParagraph"/>
        <w:numPr>
          <w:ilvl w:val="0"/>
          <w:numId w:val="2"/>
        </w:numPr>
        <w:spacing w:before="60" w:after="60"/>
      </w:pPr>
      <w:r>
        <w:rPr>
          <w:color w:val="595959"/>
        </w:rPr>
        <w:t>Log(N) Pacific has demonstrated real incident response capability, including root cause analysis, containment, eradication, and lessons fed back into the architecture.</w:t>
      </w:r>
    </w:p>
    <w:p w:rsidR="002C6C84" w:rsidRDefault="00000000">
      <w:pPr>
        <w:pStyle w:val="ListParagraph"/>
        <w:numPr>
          <w:ilvl w:val="0"/>
          <w:numId w:val="2"/>
        </w:numPr>
        <w:spacing w:before="60" w:after="60"/>
      </w:pPr>
      <w:r>
        <w:rPr>
          <w:color w:val="595959"/>
        </w:rPr>
        <w:t>Josh Madakor has strong working knowledge of NIST SP 800-61 and has applied it successfully under real conditions.</w:t>
      </w:r>
    </w:p>
    <w:p w:rsidR="002C6C84" w:rsidRDefault="00000000">
      <w:pPr>
        <w:pStyle w:val="ListParagraph"/>
        <w:numPr>
          <w:ilvl w:val="0"/>
          <w:numId w:val="2"/>
        </w:numPr>
        <w:spacing w:before="60" w:after="60"/>
      </w:pPr>
      <w:r>
        <w:rPr>
          <w:color w:val="595959"/>
        </w:rPr>
        <w:t>The platform's ephemeral VM design (nightly shutdowns, one VM per student limit, and automatic cleanup) naturally limits the blast radius of most threat scenarios.</w:t>
      </w:r>
    </w:p>
    <w:p w:rsidR="002C6C84" w:rsidRDefault="00000000">
      <w:pPr>
        <w:pStyle w:val="Heading1"/>
        <w:pBdr>
          <w:bottom w:val="single" w:sz="6" w:space="0" w:color="1F3864"/>
        </w:pBdr>
        <w:spacing w:before="320" w:after="120"/>
        <w:rPr>
          <w:b/>
          <w:bCs/>
          <w:color w:val="1F3864"/>
          <w:sz w:val="28"/>
          <w:szCs w:val="28"/>
        </w:rPr>
      </w:pPr>
      <w:r>
        <w:t>4. Priority Findings</w:t>
      </w:r>
    </w:p>
    <w:p w:rsidR="002C6C84" w:rsidRDefault="00000000">
      <w:pPr>
        <w:spacing w:before="80" w:after="80"/>
      </w:pPr>
      <w:r>
        <w:rPr>
          <w:color w:val="595959"/>
        </w:rPr>
        <w:t>The following risk register entries carry the highest risk scores and warrant the most immediate attention.</w:t>
      </w:r>
    </w:p>
    <w:p w:rsidR="002C6C84" w:rsidRDefault="002C6C84">
      <w:pPr>
        <w:spacing w:before="120" w:after="8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500"/>
        <w:gridCol w:w="1000"/>
      </w:tblGrid>
      <w:tr w:rsidR="002C6C84">
        <w:tblPrEx>
          <w:tblCellMar>
            <w:top w:w="0" w:type="dxa"/>
            <w:bottom w:w="0" w:type="dxa"/>
          </w:tblCellMar>
        </w:tblPrEx>
        <w:tc>
          <w:tcPr>
            <w:tcW w:w="900" w:type="dxa"/>
            <w:shd w:val="clear" w:color="auto" w:fill="1F3864"/>
          </w:tcPr>
          <w:p w:rsidR="002C6C84" w:rsidRDefault="00000000">
            <w:r>
              <w:rPr>
                <w:b/>
                <w:bCs/>
                <w:color w:val="FFFFFF"/>
                <w:sz w:val="18"/>
                <w:szCs w:val="18"/>
              </w:rPr>
              <w:t>Risk ID</w:t>
            </w:r>
          </w:p>
        </w:tc>
        <w:tc>
          <w:tcPr>
            <w:tcW w:w="6500" w:type="dxa"/>
            <w:shd w:val="clear" w:color="auto" w:fill="1F3864"/>
          </w:tcPr>
          <w:p w:rsidR="002C6C84" w:rsidRDefault="00000000">
            <w:r>
              <w:rPr>
                <w:b/>
                <w:bCs/>
                <w:color w:val="FFFFFF"/>
                <w:sz w:val="18"/>
                <w:szCs w:val="18"/>
              </w:rPr>
              <w:t>Risk Description</w:t>
            </w:r>
          </w:p>
        </w:tc>
        <w:tc>
          <w:tcPr>
            <w:tcW w:w="1000" w:type="dxa"/>
            <w:shd w:val="clear" w:color="auto" w:fill="1F3864"/>
          </w:tcPr>
          <w:p w:rsidR="002C6C84" w:rsidRDefault="00000000">
            <w:pPr>
              <w:jc w:val="center"/>
            </w:pPr>
            <w:r>
              <w:rPr>
                <w:b/>
                <w:bCs/>
                <w:color w:val="FFFFFF"/>
                <w:sz w:val="18"/>
                <w:szCs w:val="18"/>
              </w:rPr>
              <w:t>Score</w:t>
            </w:r>
          </w:p>
        </w:tc>
      </w:tr>
      <w:tr w:rsidR="002C6C84">
        <w:tblPrEx>
          <w:tblCellMar>
            <w:top w:w="0" w:type="dxa"/>
            <w:bottom w:w="0" w:type="dxa"/>
          </w:tblCellMar>
        </w:tblPrEx>
        <w:tc>
          <w:tcPr>
            <w:tcW w:w="900" w:type="dxa"/>
            <w:shd w:val="clear" w:color="auto" w:fill="F2F2F2"/>
          </w:tcPr>
          <w:p w:rsidR="002C6C84" w:rsidRDefault="00000000">
            <w:r>
              <w:rPr>
                <w:b/>
                <w:bCs/>
                <w:color w:val="1F3864"/>
                <w:sz w:val="18"/>
                <w:szCs w:val="18"/>
              </w:rPr>
              <w:lastRenderedPageBreak/>
              <w:t>R-008</w:t>
            </w:r>
          </w:p>
        </w:tc>
        <w:tc>
          <w:tcPr>
            <w:tcW w:w="6500" w:type="dxa"/>
          </w:tcPr>
          <w:p w:rsidR="002C6C84" w:rsidRDefault="00000000">
            <w:r>
              <w:rPr>
                <w:color w:val="595959"/>
                <w:sz w:val="18"/>
                <w:szCs w:val="18"/>
              </w:rPr>
              <w:t>Two accounts hold Global Administrator access that should not: the automation service principal and an account tied to Josh Madakor's personal Gmail address. A compromised Global Administrator account gives an attacker full, unrestricted control over the Azure tenant.</w:t>
            </w:r>
          </w:p>
        </w:tc>
        <w:tc>
          <w:tcPr>
            <w:tcW w:w="1000" w:type="dxa"/>
            <w:shd w:val="clear" w:color="auto" w:fill="C00000"/>
          </w:tcPr>
          <w:p w:rsidR="002C6C84" w:rsidRDefault="00000000">
            <w:pPr>
              <w:jc w:val="center"/>
            </w:pPr>
            <w:r>
              <w:rPr>
                <w:b/>
                <w:bCs/>
                <w:color w:val="FFFFFF"/>
                <w:sz w:val="18"/>
                <w:szCs w:val="18"/>
              </w:rPr>
              <w:t>12</w:t>
            </w:r>
          </w:p>
          <w:p w:rsidR="002C6C84" w:rsidRDefault="00000000">
            <w:pPr>
              <w:jc w:val="center"/>
            </w:pPr>
            <w:r>
              <w:rPr>
                <w:b/>
                <w:bCs/>
                <w:color w:val="FFFFFF"/>
                <w:sz w:val="16"/>
                <w:szCs w:val="16"/>
              </w:rPr>
              <w:t>High</w:t>
            </w:r>
          </w:p>
        </w:tc>
      </w:tr>
      <w:tr w:rsidR="002C6C84">
        <w:tblPrEx>
          <w:tblCellMar>
            <w:top w:w="0" w:type="dxa"/>
            <w:bottom w:w="0" w:type="dxa"/>
          </w:tblCellMar>
        </w:tblPrEx>
        <w:tc>
          <w:tcPr>
            <w:tcW w:w="900" w:type="dxa"/>
            <w:shd w:val="clear" w:color="auto" w:fill="F2F2F2"/>
          </w:tcPr>
          <w:p w:rsidR="002C6C84" w:rsidRDefault="00000000">
            <w:r>
              <w:rPr>
                <w:b/>
                <w:bCs/>
                <w:color w:val="1F3864"/>
                <w:sz w:val="18"/>
                <w:szCs w:val="18"/>
              </w:rPr>
              <w:t>R-017</w:t>
            </w:r>
          </w:p>
        </w:tc>
        <w:tc>
          <w:tcPr>
            <w:tcW w:w="6500" w:type="dxa"/>
          </w:tcPr>
          <w:p w:rsidR="002C6C84" w:rsidRDefault="00000000">
            <w:r>
              <w:rPr>
                <w:color w:val="595959"/>
                <w:sz w:val="18"/>
                <w:szCs w:val="18"/>
              </w:rPr>
              <w:t>No documented Incident Response Plan covers the full lifecycle of a company-level incident. Josh Madakor's strong SP 800-61 knowledge and the team's response capability exist in practice but have not been written down for consistent use.</w:t>
            </w:r>
          </w:p>
        </w:tc>
        <w:tc>
          <w:tcPr>
            <w:tcW w:w="1000" w:type="dxa"/>
            <w:shd w:val="clear" w:color="auto" w:fill="E26B0A"/>
          </w:tcPr>
          <w:p w:rsidR="002C6C84" w:rsidRDefault="00000000">
            <w:pPr>
              <w:jc w:val="center"/>
            </w:pPr>
            <w:r>
              <w:rPr>
                <w:b/>
                <w:bCs/>
                <w:color w:val="FFFFFF"/>
                <w:sz w:val="18"/>
                <w:szCs w:val="18"/>
              </w:rPr>
              <w:t>9</w:t>
            </w:r>
          </w:p>
          <w:p w:rsidR="002C6C84" w:rsidRDefault="00000000">
            <w:pPr>
              <w:jc w:val="center"/>
            </w:pPr>
            <w:r>
              <w:rPr>
                <w:b/>
                <w:bCs/>
                <w:color w:val="FFFFFF"/>
                <w:sz w:val="16"/>
                <w:szCs w:val="16"/>
              </w:rPr>
              <w:t>Medium</w:t>
            </w:r>
          </w:p>
        </w:tc>
      </w:tr>
      <w:tr w:rsidR="002C6C84">
        <w:tblPrEx>
          <w:tblCellMar>
            <w:top w:w="0" w:type="dxa"/>
            <w:bottom w:w="0" w:type="dxa"/>
          </w:tblCellMar>
        </w:tblPrEx>
        <w:tc>
          <w:tcPr>
            <w:tcW w:w="900" w:type="dxa"/>
            <w:shd w:val="clear" w:color="auto" w:fill="F2F2F2"/>
          </w:tcPr>
          <w:p w:rsidR="002C6C84" w:rsidRDefault="00000000">
            <w:r>
              <w:rPr>
                <w:b/>
                <w:bCs/>
                <w:color w:val="1F3864"/>
                <w:sz w:val="18"/>
                <w:szCs w:val="18"/>
              </w:rPr>
              <w:t>R-004</w:t>
            </w:r>
          </w:p>
        </w:tc>
        <w:tc>
          <w:tcPr>
            <w:tcW w:w="6500" w:type="dxa"/>
          </w:tcPr>
          <w:p w:rsidR="002C6C84" w:rsidRDefault="00000000">
            <w:r>
              <w:rPr>
                <w:color w:val="595959"/>
                <w:sz w:val="18"/>
                <w:szCs w:val="18"/>
              </w:rPr>
              <w:t>No scheduled review of real threat activity against the platform. Detection relies on Defender, UEBA, and MFA, a proportionate choice, but no cadence exists to confirm this posture remains appropriate as threats evolve.</w:t>
            </w:r>
          </w:p>
        </w:tc>
        <w:tc>
          <w:tcPr>
            <w:tcW w:w="1000" w:type="dxa"/>
            <w:shd w:val="clear" w:color="auto" w:fill="E26B0A"/>
          </w:tcPr>
          <w:p w:rsidR="002C6C84" w:rsidRDefault="00000000">
            <w:pPr>
              <w:jc w:val="center"/>
            </w:pPr>
            <w:r>
              <w:rPr>
                <w:b/>
                <w:bCs/>
                <w:color w:val="FFFFFF"/>
                <w:sz w:val="18"/>
                <w:szCs w:val="18"/>
              </w:rPr>
              <w:t>9</w:t>
            </w:r>
          </w:p>
          <w:p w:rsidR="002C6C84" w:rsidRDefault="00000000">
            <w:pPr>
              <w:jc w:val="center"/>
            </w:pPr>
            <w:r>
              <w:rPr>
                <w:b/>
                <w:bCs/>
                <w:color w:val="FFFFFF"/>
                <w:sz w:val="16"/>
                <w:szCs w:val="16"/>
              </w:rPr>
              <w:t>Medium</w:t>
            </w:r>
          </w:p>
        </w:tc>
      </w:tr>
      <w:tr w:rsidR="002C6C84">
        <w:tblPrEx>
          <w:tblCellMar>
            <w:top w:w="0" w:type="dxa"/>
            <w:bottom w:w="0" w:type="dxa"/>
          </w:tblCellMar>
        </w:tblPrEx>
        <w:tc>
          <w:tcPr>
            <w:tcW w:w="900" w:type="dxa"/>
            <w:shd w:val="clear" w:color="auto" w:fill="F2F2F2"/>
          </w:tcPr>
          <w:p w:rsidR="002C6C84" w:rsidRDefault="00000000">
            <w:r>
              <w:rPr>
                <w:b/>
                <w:bCs/>
                <w:color w:val="1F3864"/>
                <w:sz w:val="18"/>
                <w:szCs w:val="18"/>
              </w:rPr>
              <w:t>R-007</w:t>
            </w:r>
          </w:p>
        </w:tc>
        <w:tc>
          <w:tcPr>
            <w:tcW w:w="6500" w:type="dxa"/>
          </w:tcPr>
          <w:p w:rsidR="002C6C84" w:rsidRDefault="00000000">
            <w:r>
              <w:rPr>
                <w:color w:val="595959"/>
                <w:sz w:val="18"/>
                <w:szCs w:val="18"/>
              </w:rPr>
              <w:t>Dormant student accounts that were auto-provisioned but never activated are not periodically reviewed or disabled, creating unnecessary attack surface.</w:t>
            </w:r>
          </w:p>
        </w:tc>
        <w:tc>
          <w:tcPr>
            <w:tcW w:w="1000" w:type="dxa"/>
            <w:shd w:val="clear" w:color="auto" w:fill="E26B0A"/>
          </w:tcPr>
          <w:p w:rsidR="002C6C84" w:rsidRDefault="00000000">
            <w:pPr>
              <w:jc w:val="center"/>
            </w:pPr>
            <w:r>
              <w:rPr>
                <w:b/>
                <w:bCs/>
                <w:color w:val="FFFFFF"/>
                <w:sz w:val="18"/>
                <w:szCs w:val="18"/>
              </w:rPr>
              <w:t>6</w:t>
            </w:r>
          </w:p>
          <w:p w:rsidR="002C6C84" w:rsidRDefault="00000000">
            <w:pPr>
              <w:jc w:val="center"/>
            </w:pPr>
            <w:r>
              <w:rPr>
                <w:b/>
                <w:bCs/>
                <w:color w:val="FFFFFF"/>
                <w:sz w:val="16"/>
                <w:szCs w:val="16"/>
              </w:rPr>
              <w:t>Medium</w:t>
            </w:r>
          </w:p>
        </w:tc>
      </w:tr>
      <w:tr w:rsidR="002C6C84">
        <w:tblPrEx>
          <w:tblCellMar>
            <w:top w:w="0" w:type="dxa"/>
            <w:bottom w:w="0" w:type="dxa"/>
          </w:tblCellMar>
        </w:tblPrEx>
        <w:tc>
          <w:tcPr>
            <w:tcW w:w="900" w:type="dxa"/>
            <w:shd w:val="clear" w:color="auto" w:fill="F2F2F2"/>
          </w:tcPr>
          <w:p w:rsidR="002C6C84" w:rsidRDefault="00000000">
            <w:r>
              <w:rPr>
                <w:b/>
                <w:bCs/>
                <w:color w:val="1F3864"/>
                <w:sz w:val="18"/>
                <w:szCs w:val="18"/>
              </w:rPr>
              <w:t>R-014</w:t>
            </w:r>
          </w:p>
        </w:tc>
        <w:tc>
          <w:tcPr>
            <w:tcW w:w="6500" w:type="dxa"/>
          </w:tcPr>
          <w:p w:rsidR="002C6C84" w:rsidRDefault="00000000">
            <w:r>
              <w:rPr>
                <w:color w:val="595959"/>
                <w:sz w:val="18"/>
                <w:szCs w:val="18"/>
              </w:rPr>
              <w:t>The two always-on company VMs have only been scanned during teaching demonstrations, not as a deliberate organizational security practice. A vulnerability could go unnoticed for an extended period.</w:t>
            </w:r>
          </w:p>
        </w:tc>
        <w:tc>
          <w:tcPr>
            <w:tcW w:w="1000" w:type="dxa"/>
            <w:shd w:val="clear" w:color="auto" w:fill="E26B0A"/>
          </w:tcPr>
          <w:p w:rsidR="002C6C84" w:rsidRDefault="00000000">
            <w:pPr>
              <w:jc w:val="center"/>
            </w:pPr>
            <w:r>
              <w:rPr>
                <w:b/>
                <w:bCs/>
                <w:color w:val="FFFFFF"/>
                <w:sz w:val="18"/>
                <w:szCs w:val="18"/>
              </w:rPr>
              <w:t>6</w:t>
            </w:r>
          </w:p>
          <w:p w:rsidR="002C6C84" w:rsidRDefault="00000000">
            <w:pPr>
              <w:jc w:val="center"/>
            </w:pPr>
            <w:r>
              <w:rPr>
                <w:b/>
                <w:bCs/>
                <w:color w:val="FFFFFF"/>
                <w:sz w:val="16"/>
                <w:szCs w:val="16"/>
              </w:rPr>
              <w:t>Medium</w:t>
            </w:r>
          </w:p>
        </w:tc>
      </w:tr>
    </w:tbl>
    <w:p w:rsidR="002C6C84" w:rsidRDefault="00000000">
      <w:pPr>
        <w:pStyle w:val="Heading1"/>
        <w:pBdr>
          <w:bottom w:val="single" w:sz="6" w:space="0" w:color="1F3864"/>
        </w:pBdr>
        <w:spacing w:before="320" w:after="120"/>
        <w:rPr>
          <w:b/>
          <w:bCs/>
          <w:color w:val="1F3864"/>
          <w:sz w:val="28"/>
          <w:szCs w:val="28"/>
        </w:rPr>
      </w:pPr>
      <w:r>
        <w:t>5. Recommended Next Steps</w:t>
      </w:r>
    </w:p>
    <w:p w:rsidR="002C6C84" w:rsidRDefault="00000000">
      <w:pPr>
        <w:spacing w:before="80" w:after="80"/>
      </w:pPr>
      <w:r>
        <w:rPr>
          <w:color w:val="595959"/>
        </w:rPr>
        <w:t>Listed in priority order:</w:t>
      </w:r>
    </w:p>
    <w:p w:rsidR="002C6C84" w:rsidRDefault="002C6C84">
      <w:pPr>
        <w:spacing w:before="120" w:after="8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800"/>
      </w:tblGrid>
      <w:tr w:rsidR="002C6C84">
        <w:tblPrEx>
          <w:tblCellMar>
            <w:top w:w="0" w:type="dxa"/>
            <w:bottom w:w="0" w:type="dxa"/>
          </w:tblCellMar>
        </w:tblPrEx>
        <w:tc>
          <w:tcPr>
            <w:tcW w:w="600" w:type="dxa"/>
            <w:shd w:val="clear" w:color="auto" w:fill="1F3864"/>
          </w:tcPr>
          <w:p w:rsidR="002C6C84" w:rsidRDefault="00000000">
            <w:pPr>
              <w:jc w:val="center"/>
            </w:pPr>
            <w:r>
              <w:rPr>
                <w:b/>
                <w:bCs/>
                <w:color w:val="FFFFFF"/>
              </w:rPr>
              <w:t>1</w:t>
            </w:r>
          </w:p>
        </w:tc>
        <w:tc>
          <w:tcPr>
            <w:tcW w:w="7800" w:type="dxa"/>
          </w:tcPr>
          <w:p w:rsidR="002C6C84" w:rsidRDefault="00000000">
            <w:r>
              <w:rPr>
                <w:color w:val="595959"/>
                <w:sz w:val="19"/>
                <w:szCs w:val="19"/>
              </w:rPr>
              <w:t>Remove Global Administrator from the automation service principal and replace with scoped permissions. Migrate Josh Madakor's Global Administrator access to a company-managed identity rather than a personal Gmail address. This is the highest priority item in the entire assessment and can be actioned immediately.</w:t>
            </w:r>
          </w:p>
        </w:tc>
      </w:tr>
      <w:tr w:rsidR="002C6C84">
        <w:tblPrEx>
          <w:tblCellMar>
            <w:top w:w="0" w:type="dxa"/>
            <w:bottom w:w="0" w:type="dxa"/>
          </w:tblCellMar>
        </w:tblPrEx>
        <w:tc>
          <w:tcPr>
            <w:tcW w:w="600" w:type="dxa"/>
            <w:shd w:val="clear" w:color="auto" w:fill="1F3864"/>
          </w:tcPr>
          <w:p w:rsidR="002C6C84" w:rsidRDefault="00000000">
            <w:pPr>
              <w:jc w:val="center"/>
            </w:pPr>
            <w:r>
              <w:rPr>
                <w:b/>
                <w:bCs/>
                <w:color w:val="FFFFFF"/>
              </w:rPr>
              <w:t>2</w:t>
            </w:r>
          </w:p>
        </w:tc>
        <w:tc>
          <w:tcPr>
            <w:tcW w:w="7800" w:type="dxa"/>
          </w:tcPr>
          <w:p w:rsidR="002C6C84" w:rsidRDefault="00000000">
            <w:r>
              <w:rPr>
                <w:color w:val="595959"/>
                <w:sz w:val="19"/>
                <w:szCs w:val="19"/>
              </w:rPr>
              <w:t>A formal Incident Response Plan has been completed as part of this assessment, covering incident classification, triage criteria, escalation paths, containment and eradication procedures, closure criteria, and a post-incident review template. The completed plan is included in the deliverable package.</w:t>
            </w:r>
          </w:p>
        </w:tc>
      </w:tr>
      <w:tr w:rsidR="002C6C84">
        <w:tblPrEx>
          <w:tblCellMar>
            <w:top w:w="0" w:type="dxa"/>
            <w:bottom w:w="0" w:type="dxa"/>
          </w:tblCellMar>
        </w:tblPrEx>
        <w:tc>
          <w:tcPr>
            <w:tcW w:w="600" w:type="dxa"/>
            <w:shd w:val="clear" w:color="auto" w:fill="1F3864"/>
          </w:tcPr>
          <w:p w:rsidR="002C6C84" w:rsidRDefault="00000000">
            <w:pPr>
              <w:jc w:val="center"/>
            </w:pPr>
            <w:r>
              <w:rPr>
                <w:b/>
                <w:bCs/>
                <w:color w:val="FFFFFF"/>
              </w:rPr>
              <w:t>3</w:t>
            </w:r>
          </w:p>
        </w:tc>
        <w:tc>
          <w:tcPr>
            <w:tcW w:w="7800" w:type="dxa"/>
          </w:tcPr>
          <w:p w:rsidR="002C6C84" w:rsidRDefault="00000000">
            <w:r>
              <w:rPr>
                <w:color w:val="595959"/>
                <w:sz w:val="19"/>
                <w:szCs w:val="19"/>
              </w:rPr>
              <w:t>Configure an automated rule in the Azure Function or Entra ID to disable student accounts that have not signed in within 90 days of provisioning. This significantly reduces unnecessary attack surface without disrupting the student experience.</w:t>
            </w:r>
          </w:p>
        </w:tc>
      </w:tr>
      <w:tr w:rsidR="002C6C84">
        <w:tblPrEx>
          <w:tblCellMar>
            <w:top w:w="0" w:type="dxa"/>
            <w:bottom w:w="0" w:type="dxa"/>
          </w:tblCellMar>
        </w:tblPrEx>
        <w:tc>
          <w:tcPr>
            <w:tcW w:w="600" w:type="dxa"/>
            <w:shd w:val="clear" w:color="auto" w:fill="1F3864"/>
          </w:tcPr>
          <w:p w:rsidR="002C6C84" w:rsidRDefault="00000000">
            <w:pPr>
              <w:jc w:val="center"/>
            </w:pPr>
            <w:r>
              <w:rPr>
                <w:b/>
                <w:bCs/>
                <w:color w:val="FFFFFF"/>
              </w:rPr>
              <w:t>4</w:t>
            </w:r>
          </w:p>
        </w:tc>
        <w:tc>
          <w:tcPr>
            <w:tcW w:w="7800" w:type="dxa"/>
          </w:tcPr>
          <w:p w:rsidR="002C6C84" w:rsidRDefault="00000000">
            <w:r>
              <w:rPr>
                <w:color w:val="595959"/>
                <w:sz w:val="19"/>
                <w:szCs w:val="19"/>
              </w:rPr>
              <w:t>Run a basic Tenable scan against the two company-owned VMs on a quarterly basis and document this cadence in DE-001. This does not require a formal program, just a periodic informal check.</w:t>
            </w:r>
          </w:p>
        </w:tc>
      </w:tr>
      <w:tr w:rsidR="002C6C84">
        <w:tblPrEx>
          <w:tblCellMar>
            <w:top w:w="0" w:type="dxa"/>
            <w:bottom w:w="0" w:type="dxa"/>
          </w:tblCellMar>
        </w:tblPrEx>
        <w:tc>
          <w:tcPr>
            <w:tcW w:w="600" w:type="dxa"/>
            <w:shd w:val="clear" w:color="auto" w:fill="1F3864"/>
          </w:tcPr>
          <w:p w:rsidR="002C6C84" w:rsidRDefault="00000000">
            <w:pPr>
              <w:jc w:val="center"/>
            </w:pPr>
            <w:r>
              <w:rPr>
                <w:b/>
                <w:bCs/>
                <w:color w:val="FFFFFF"/>
              </w:rPr>
              <w:t>5</w:t>
            </w:r>
          </w:p>
        </w:tc>
        <w:tc>
          <w:tcPr>
            <w:tcW w:w="7800" w:type="dxa"/>
          </w:tcPr>
          <w:p w:rsidR="002C6C84" w:rsidRDefault="00000000">
            <w:r>
              <w:rPr>
                <w:color w:val="595959"/>
                <w:sz w:val="19"/>
                <w:szCs w:val="19"/>
              </w:rPr>
              <w:t>Configure Azure Service Health alerts for the subscription. This is a free, built-in Azure feature that takes minutes to set up and ensures Josh Madakor is proactively notified of outages and planned maintenance rather than discovering them through student reports.</w:t>
            </w:r>
          </w:p>
        </w:tc>
      </w:tr>
      <w:tr w:rsidR="002C6C84">
        <w:tblPrEx>
          <w:tblCellMar>
            <w:top w:w="0" w:type="dxa"/>
            <w:bottom w:w="0" w:type="dxa"/>
          </w:tblCellMar>
        </w:tblPrEx>
        <w:tc>
          <w:tcPr>
            <w:tcW w:w="600" w:type="dxa"/>
            <w:shd w:val="clear" w:color="auto" w:fill="1F3864"/>
          </w:tcPr>
          <w:p w:rsidR="002C6C84" w:rsidRDefault="00000000">
            <w:pPr>
              <w:jc w:val="center"/>
            </w:pPr>
            <w:r>
              <w:rPr>
                <w:b/>
                <w:bCs/>
                <w:color w:val="FFFFFF"/>
              </w:rPr>
              <w:t>6</w:t>
            </w:r>
          </w:p>
        </w:tc>
        <w:tc>
          <w:tcPr>
            <w:tcW w:w="7800" w:type="dxa"/>
          </w:tcPr>
          <w:p w:rsidR="002C6C84" w:rsidRDefault="00000000">
            <w:r>
              <w:rPr>
                <w:color w:val="595959"/>
                <w:sz w:val="19"/>
                <w:szCs w:val="19"/>
              </w:rPr>
              <w:t>Enable Sentinel Fusion. This is a one-time configuration change with no licensing cost. It runs passively against data Defender and Entra ID are already generating and surfaces multi-stage attack chains targeting admin accounts.</w:t>
            </w:r>
          </w:p>
        </w:tc>
      </w:tr>
    </w:tbl>
    <w:p w:rsidR="002C6C84" w:rsidRDefault="00000000">
      <w:pPr>
        <w:pStyle w:val="Heading1"/>
        <w:pBdr>
          <w:bottom w:val="single" w:sz="6" w:space="0" w:color="1F3864"/>
        </w:pBdr>
        <w:spacing w:before="320" w:after="120"/>
        <w:rPr>
          <w:b/>
          <w:bCs/>
          <w:color w:val="1F3864"/>
          <w:sz w:val="28"/>
          <w:szCs w:val="28"/>
        </w:rPr>
      </w:pPr>
      <w:r>
        <w:t>6. Risk Register Reference</w:t>
      </w:r>
    </w:p>
    <w:p w:rsidR="002C6C84" w:rsidRDefault="00000000">
      <w:pPr>
        <w:spacing w:before="80" w:after="80"/>
      </w:pPr>
      <w:r>
        <w:rPr>
          <w:color w:val="595959"/>
        </w:rPr>
        <w:t>The complete risk register includes 20 entries spanning all six NIST CSF 2.0 functions, R-001 through R-020. Each entry includes the risk description, CSF control reference, likelihood and impact scores, risk score, owner, treatment decision, and treatment notes. The full risk register is available in the NIST_CSF2_GapAssessment_LogNPacific.xlsx workbook.</w:t>
      </w:r>
    </w:p>
    <w:p w:rsidR="002C6C84" w:rsidRDefault="00000000">
      <w:pPr>
        <w:pBdr>
          <w:top w:val="single" w:sz="4" w:space="0" w:color="1F3864"/>
        </w:pBdr>
        <w:spacing w:before="480"/>
        <w:jc w:val="center"/>
      </w:pPr>
      <w:r>
        <w:rPr>
          <w:i/>
          <w:iCs/>
          <w:color w:val="595959"/>
          <w:sz w:val="16"/>
          <w:szCs w:val="16"/>
        </w:rPr>
        <w:t>Prepared by Chau Pham  |  chaupham.career@gmail.com  |  Ju</w:t>
      </w:r>
      <w:proofErr w:type="spellStart"/>
      <w:r w:rsidR="00BC7AA8">
        <w:rPr>
          <w:i/>
          <w:iCs/>
          <w:color w:val="595959"/>
          <w:sz w:val="16"/>
          <w:szCs w:val="16"/>
          <w:lang w:val="en-US"/>
        </w:rPr>
        <w:t>ly</w:t>
      </w:r>
      <w:proofErr w:type="spellEnd"/>
      <w:r>
        <w:rPr>
          <w:i/>
          <w:iCs/>
          <w:color w:val="595959"/>
          <w:sz w:val="16"/>
          <w:szCs w:val="16"/>
        </w:rPr>
        <w:t xml:space="preserve"> 2026</w:t>
      </w:r>
    </w:p>
    <w:sectPr w:rsidR="002C6C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C35E9"/>
    <w:multiLevelType w:val="hybridMultilevel"/>
    <w:tmpl w:val="BF3C1B28"/>
    <w:lvl w:ilvl="0" w:tplc="101A0EA8">
      <w:start w:val="1"/>
      <w:numFmt w:val="bullet"/>
      <w:lvlText w:val="•"/>
      <w:lvlJc w:val="left"/>
      <w:pPr>
        <w:ind w:left="720" w:hanging="360"/>
      </w:pPr>
    </w:lvl>
    <w:lvl w:ilvl="1" w:tplc="8D0A2B80">
      <w:numFmt w:val="decimal"/>
      <w:lvlText w:val=""/>
      <w:lvlJc w:val="left"/>
    </w:lvl>
    <w:lvl w:ilvl="2" w:tplc="1974C688">
      <w:numFmt w:val="decimal"/>
      <w:lvlText w:val=""/>
      <w:lvlJc w:val="left"/>
    </w:lvl>
    <w:lvl w:ilvl="3" w:tplc="D6D2DE72">
      <w:numFmt w:val="decimal"/>
      <w:lvlText w:val=""/>
      <w:lvlJc w:val="left"/>
    </w:lvl>
    <w:lvl w:ilvl="4" w:tplc="526452FA">
      <w:numFmt w:val="decimal"/>
      <w:lvlText w:val=""/>
      <w:lvlJc w:val="left"/>
    </w:lvl>
    <w:lvl w:ilvl="5" w:tplc="DC82FD54">
      <w:numFmt w:val="decimal"/>
      <w:lvlText w:val=""/>
      <w:lvlJc w:val="left"/>
    </w:lvl>
    <w:lvl w:ilvl="6" w:tplc="25B60516">
      <w:numFmt w:val="decimal"/>
      <w:lvlText w:val=""/>
      <w:lvlJc w:val="left"/>
    </w:lvl>
    <w:lvl w:ilvl="7" w:tplc="65EC6D00">
      <w:numFmt w:val="decimal"/>
      <w:lvlText w:val=""/>
      <w:lvlJc w:val="left"/>
    </w:lvl>
    <w:lvl w:ilvl="8" w:tplc="16E0FEB6">
      <w:numFmt w:val="decimal"/>
      <w:lvlText w:val=""/>
      <w:lvlJc w:val="left"/>
    </w:lvl>
  </w:abstractNum>
  <w:abstractNum w:abstractNumId="1" w15:restartNumberingAfterBreak="0">
    <w:nsid w:val="1D922E87"/>
    <w:multiLevelType w:val="hybridMultilevel"/>
    <w:tmpl w:val="58924366"/>
    <w:lvl w:ilvl="0" w:tplc="FD44A9F8">
      <w:start w:val="1"/>
      <w:numFmt w:val="bullet"/>
      <w:lvlText w:val="●"/>
      <w:lvlJc w:val="left"/>
      <w:pPr>
        <w:ind w:left="720" w:hanging="360"/>
      </w:pPr>
    </w:lvl>
    <w:lvl w:ilvl="1" w:tplc="12104FDA">
      <w:start w:val="1"/>
      <w:numFmt w:val="bullet"/>
      <w:lvlText w:val="○"/>
      <w:lvlJc w:val="left"/>
      <w:pPr>
        <w:ind w:left="1440" w:hanging="360"/>
      </w:pPr>
    </w:lvl>
    <w:lvl w:ilvl="2" w:tplc="E8CA4576">
      <w:start w:val="1"/>
      <w:numFmt w:val="bullet"/>
      <w:lvlText w:val="■"/>
      <w:lvlJc w:val="left"/>
      <w:pPr>
        <w:ind w:left="2160" w:hanging="360"/>
      </w:pPr>
    </w:lvl>
    <w:lvl w:ilvl="3" w:tplc="0CF44FC0">
      <w:start w:val="1"/>
      <w:numFmt w:val="bullet"/>
      <w:lvlText w:val="●"/>
      <w:lvlJc w:val="left"/>
      <w:pPr>
        <w:ind w:left="2880" w:hanging="360"/>
      </w:pPr>
    </w:lvl>
    <w:lvl w:ilvl="4" w:tplc="E63E8434">
      <w:start w:val="1"/>
      <w:numFmt w:val="bullet"/>
      <w:lvlText w:val="○"/>
      <w:lvlJc w:val="left"/>
      <w:pPr>
        <w:ind w:left="3600" w:hanging="360"/>
      </w:pPr>
    </w:lvl>
    <w:lvl w:ilvl="5" w:tplc="613CD66A">
      <w:start w:val="1"/>
      <w:numFmt w:val="bullet"/>
      <w:lvlText w:val="■"/>
      <w:lvlJc w:val="left"/>
      <w:pPr>
        <w:ind w:left="4320" w:hanging="360"/>
      </w:pPr>
    </w:lvl>
    <w:lvl w:ilvl="6" w:tplc="2FE8654A">
      <w:start w:val="1"/>
      <w:numFmt w:val="bullet"/>
      <w:lvlText w:val="●"/>
      <w:lvlJc w:val="left"/>
      <w:pPr>
        <w:ind w:left="5040" w:hanging="360"/>
      </w:pPr>
    </w:lvl>
    <w:lvl w:ilvl="7" w:tplc="38384AF0">
      <w:start w:val="1"/>
      <w:numFmt w:val="bullet"/>
      <w:lvlText w:val="●"/>
      <w:lvlJc w:val="left"/>
      <w:pPr>
        <w:ind w:left="5760" w:hanging="360"/>
      </w:pPr>
    </w:lvl>
    <w:lvl w:ilvl="8" w:tplc="3020C05E">
      <w:start w:val="1"/>
      <w:numFmt w:val="bullet"/>
      <w:lvlText w:val="●"/>
      <w:lvlJc w:val="left"/>
      <w:pPr>
        <w:ind w:left="6480" w:hanging="360"/>
      </w:pPr>
    </w:lvl>
  </w:abstractNum>
  <w:num w:numId="1" w16cid:durableId="1419446612">
    <w:abstractNumId w:val="1"/>
    <w:lvlOverride w:ilvl="0">
      <w:startOverride w:val="1"/>
    </w:lvlOverride>
  </w:num>
  <w:num w:numId="2" w16cid:durableId="1921981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C84"/>
    <w:rsid w:val="002C6C84"/>
    <w:rsid w:val="00BC7AA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293F789"/>
  <w15:docId w15:val="{0E760369-9C10-AE4A-B8C6-EB978EA59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Chau Pham</cp:lastModifiedBy>
  <cp:revision>2</cp:revision>
  <dcterms:created xsi:type="dcterms:W3CDTF">2026-07-02T02:16:00Z</dcterms:created>
  <dcterms:modified xsi:type="dcterms:W3CDTF">2026-07-07T16:49:00Z</dcterms:modified>
</cp:coreProperties>
</file>