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B32C2" w:rsidRDefault="001B32C2">
      <w:pPr>
        <w:spacing w:after="120"/>
      </w:pPr>
    </w:p>
    <w:p w:rsidR="001B32C2" w:rsidRDefault="001B32C2">
      <w:pPr>
        <w:spacing w:after="120"/>
      </w:pPr>
    </w:p>
    <w:p w:rsidR="001B32C2" w:rsidRDefault="00000000">
      <w:pPr>
        <w:spacing w:after="80"/>
        <w:jc w:val="center"/>
      </w:pPr>
      <w:r>
        <w:rPr>
          <w:b/>
          <w:bCs/>
          <w:color w:val="1F2937"/>
          <w:sz w:val="28"/>
          <w:szCs w:val="28"/>
        </w:rPr>
        <w:t>RS-001</w:t>
      </w:r>
    </w:p>
    <w:p w:rsidR="001B32C2" w:rsidRDefault="00000000">
      <w:pPr>
        <w:spacing w:after="80"/>
        <w:jc w:val="center"/>
      </w:pPr>
      <w:r>
        <w:rPr>
          <w:b/>
          <w:bCs/>
          <w:color w:val="1F2937"/>
          <w:sz w:val="36"/>
          <w:szCs w:val="36"/>
        </w:rPr>
        <w:t>Incident Response Plan</w:t>
      </w:r>
    </w:p>
    <w:p w:rsidR="001B32C2" w:rsidRDefault="001B32C2">
      <w:pPr>
        <w:spacing w:after="120"/>
      </w:pPr>
    </w:p>
    <w:p w:rsidR="001B32C2" w:rsidRDefault="00000000">
      <w:pPr>
        <w:spacing w:after="80"/>
        <w:jc w:val="center"/>
      </w:pPr>
      <w:r>
        <w:rPr>
          <w:color w:val="000000"/>
          <w:sz w:val="22"/>
          <w:szCs w:val="22"/>
        </w:rPr>
        <w:t>Log(N) Pacific / Cyber Range</w:t>
      </w:r>
    </w:p>
    <w:p w:rsidR="001B32C2" w:rsidRDefault="001B32C2">
      <w:pPr>
        <w:spacing w:after="12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tblGrid>
      <w:tr w:rsidR="001B32C2">
        <w:tblPrEx>
          <w:tblCellMar>
            <w:top w:w="0" w:type="dxa"/>
            <w:bottom w:w="0" w:type="dxa"/>
          </w:tblCellMar>
        </w:tblPrEx>
        <w:tc>
          <w:tcPr>
            <w:tcW w:w="2400" w:type="dxa"/>
            <w:shd w:val="clear" w:color="auto" w:fill="1F2937"/>
            <w:tcMar>
              <w:top w:w="60" w:type="dxa"/>
              <w:left w:w="80" w:type="dxa"/>
              <w:bottom w:w="60" w:type="dxa"/>
              <w:right w:w="80" w:type="dxa"/>
            </w:tcMar>
            <w:vAlign w:val="center"/>
          </w:tcPr>
          <w:p w:rsidR="001B32C2" w:rsidRDefault="00000000">
            <w:r>
              <w:rPr>
                <w:b/>
                <w:bCs/>
                <w:color w:val="FFFFFF"/>
                <w:sz w:val="18"/>
                <w:szCs w:val="18"/>
              </w:rPr>
              <w:t>Document ID</w:t>
            </w:r>
          </w:p>
        </w:tc>
        <w:tc>
          <w:tcPr>
            <w:tcW w:w="3600" w:type="dxa"/>
            <w:tcMar>
              <w:top w:w="60" w:type="dxa"/>
              <w:left w:w="80" w:type="dxa"/>
              <w:bottom w:w="60" w:type="dxa"/>
              <w:right w:w="80" w:type="dxa"/>
            </w:tcMar>
            <w:vAlign w:val="center"/>
          </w:tcPr>
          <w:p w:rsidR="001B32C2" w:rsidRDefault="00000000">
            <w:r>
              <w:rPr>
                <w:color w:val="000000"/>
                <w:sz w:val="18"/>
                <w:szCs w:val="18"/>
              </w:rPr>
              <w:t>RS-001</w:t>
            </w:r>
          </w:p>
        </w:tc>
      </w:tr>
      <w:tr w:rsidR="001B32C2">
        <w:tblPrEx>
          <w:tblCellMar>
            <w:top w:w="0" w:type="dxa"/>
            <w:bottom w:w="0" w:type="dxa"/>
          </w:tblCellMar>
        </w:tblPrEx>
        <w:tc>
          <w:tcPr>
            <w:tcW w:w="2400" w:type="dxa"/>
            <w:shd w:val="clear" w:color="auto" w:fill="1F2937"/>
            <w:tcMar>
              <w:top w:w="60" w:type="dxa"/>
              <w:left w:w="80" w:type="dxa"/>
              <w:bottom w:w="60" w:type="dxa"/>
              <w:right w:w="80" w:type="dxa"/>
            </w:tcMar>
            <w:vAlign w:val="center"/>
          </w:tcPr>
          <w:p w:rsidR="001B32C2" w:rsidRDefault="00000000">
            <w:r>
              <w:rPr>
                <w:b/>
                <w:bCs/>
                <w:color w:val="FFFFFF"/>
                <w:sz w:val="18"/>
                <w:szCs w:val="18"/>
              </w:rPr>
              <w:t>Version</w:t>
            </w:r>
          </w:p>
        </w:tc>
        <w:tc>
          <w:tcPr>
            <w:tcW w:w="3600" w:type="dxa"/>
            <w:tcMar>
              <w:top w:w="60" w:type="dxa"/>
              <w:left w:w="80" w:type="dxa"/>
              <w:bottom w:w="60" w:type="dxa"/>
              <w:right w:w="80" w:type="dxa"/>
            </w:tcMar>
            <w:vAlign w:val="center"/>
          </w:tcPr>
          <w:p w:rsidR="001B32C2" w:rsidRDefault="00000000">
            <w:r>
              <w:rPr>
                <w:color w:val="000000"/>
                <w:sz w:val="18"/>
                <w:szCs w:val="18"/>
              </w:rPr>
              <w:t>1.0</w:t>
            </w:r>
          </w:p>
        </w:tc>
      </w:tr>
      <w:tr w:rsidR="001B32C2">
        <w:tblPrEx>
          <w:tblCellMar>
            <w:top w:w="0" w:type="dxa"/>
            <w:bottom w:w="0" w:type="dxa"/>
          </w:tblCellMar>
        </w:tblPrEx>
        <w:tc>
          <w:tcPr>
            <w:tcW w:w="2400" w:type="dxa"/>
            <w:shd w:val="clear" w:color="auto" w:fill="1F2937"/>
            <w:tcMar>
              <w:top w:w="60" w:type="dxa"/>
              <w:left w:w="80" w:type="dxa"/>
              <w:bottom w:w="60" w:type="dxa"/>
              <w:right w:w="80" w:type="dxa"/>
            </w:tcMar>
            <w:vAlign w:val="center"/>
          </w:tcPr>
          <w:p w:rsidR="001B32C2" w:rsidRDefault="00000000">
            <w:r>
              <w:rPr>
                <w:b/>
                <w:bCs/>
                <w:color w:val="FFFFFF"/>
                <w:sz w:val="18"/>
                <w:szCs w:val="18"/>
              </w:rPr>
              <w:t>Effective Date</w:t>
            </w:r>
          </w:p>
        </w:tc>
        <w:tc>
          <w:tcPr>
            <w:tcW w:w="3600" w:type="dxa"/>
            <w:tcMar>
              <w:top w:w="60" w:type="dxa"/>
              <w:left w:w="80" w:type="dxa"/>
              <w:bottom w:w="60" w:type="dxa"/>
              <w:right w:w="80" w:type="dxa"/>
            </w:tcMar>
            <w:vAlign w:val="center"/>
          </w:tcPr>
          <w:p w:rsidR="001B32C2" w:rsidRDefault="00000000">
            <w:r>
              <w:rPr>
                <w:color w:val="000000"/>
                <w:sz w:val="18"/>
                <w:szCs w:val="18"/>
              </w:rPr>
              <w:t>Ju</w:t>
            </w:r>
            <w:proofErr w:type="spellStart"/>
            <w:r w:rsidR="002D47E8">
              <w:rPr>
                <w:color w:val="000000"/>
                <w:sz w:val="18"/>
                <w:szCs w:val="18"/>
                <w:lang w:val="en-US"/>
              </w:rPr>
              <w:t>ly</w:t>
            </w:r>
            <w:proofErr w:type="spellEnd"/>
            <w:r>
              <w:rPr>
                <w:color w:val="000000"/>
                <w:sz w:val="18"/>
                <w:szCs w:val="18"/>
              </w:rPr>
              <w:t xml:space="preserve"> 2026</w:t>
            </w:r>
          </w:p>
        </w:tc>
      </w:tr>
      <w:tr w:rsidR="001B32C2">
        <w:tblPrEx>
          <w:tblCellMar>
            <w:top w:w="0" w:type="dxa"/>
            <w:bottom w:w="0" w:type="dxa"/>
          </w:tblCellMar>
        </w:tblPrEx>
        <w:tc>
          <w:tcPr>
            <w:tcW w:w="2400" w:type="dxa"/>
            <w:shd w:val="clear" w:color="auto" w:fill="1F2937"/>
            <w:tcMar>
              <w:top w:w="60" w:type="dxa"/>
              <w:left w:w="80" w:type="dxa"/>
              <w:bottom w:w="60" w:type="dxa"/>
              <w:right w:w="80" w:type="dxa"/>
            </w:tcMar>
            <w:vAlign w:val="center"/>
          </w:tcPr>
          <w:p w:rsidR="001B32C2" w:rsidRDefault="00000000">
            <w:r>
              <w:rPr>
                <w:b/>
                <w:bCs/>
                <w:color w:val="FFFFFF"/>
                <w:sz w:val="18"/>
                <w:szCs w:val="18"/>
              </w:rPr>
              <w:t>Prepared By</w:t>
            </w:r>
          </w:p>
        </w:tc>
        <w:tc>
          <w:tcPr>
            <w:tcW w:w="3600" w:type="dxa"/>
            <w:tcMar>
              <w:top w:w="60" w:type="dxa"/>
              <w:left w:w="80" w:type="dxa"/>
              <w:bottom w:w="60" w:type="dxa"/>
              <w:right w:w="80" w:type="dxa"/>
            </w:tcMar>
            <w:vAlign w:val="center"/>
          </w:tcPr>
          <w:p w:rsidR="001B32C2" w:rsidRDefault="00000000">
            <w:r>
              <w:rPr>
                <w:color w:val="000000"/>
                <w:sz w:val="18"/>
                <w:szCs w:val="18"/>
              </w:rPr>
              <w:t>Chau Pham, Cybersecurity Analyst Intern</w:t>
            </w:r>
          </w:p>
        </w:tc>
      </w:tr>
      <w:tr w:rsidR="001B32C2">
        <w:tblPrEx>
          <w:tblCellMar>
            <w:top w:w="0" w:type="dxa"/>
            <w:bottom w:w="0" w:type="dxa"/>
          </w:tblCellMar>
        </w:tblPrEx>
        <w:tc>
          <w:tcPr>
            <w:tcW w:w="2400" w:type="dxa"/>
            <w:shd w:val="clear" w:color="auto" w:fill="1F2937"/>
            <w:tcMar>
              <w:top w:w="60" w:type="dxa"/>
              <w:left w:w="80" w:type="dxa"/>
              <w:bottom w:w="60" w:type="dxa"/>
              <w:right w:w="80" w:type="dxa"/>
            </w:tcMar>
            <w:vAlign w:val="center"/>
          </w:tcPr>
          <w:p w:rsidR="001B32C2" w:rsidRDefault="00000000">
            <w:r>
              <w:rPr>
                <w:b/>
                <w:bCs/>
                <w:color w:val="FFFFFF"/>
                <w:sz w:val="18"/>
                <w:szCs w:val="18"/>
              </w:rPr>
              <w:t>Reviewed By</w:t>
            </w:r>
          </w:p>
        </w:tc>
        <w:tc>
          <w:tcPr>
            <w:tcW w:w="3600" w:type="dxa"/>
            <w:tcMar>
              <w:top w:w="60" w:type="dxa"/>
              <w:left w:w="80" w:type="dxa"/>
              <w:bottom w:w="60" w:type="dxa"/>
              <w:right w:w="80" w:type="dxa"/>
            </w:tcMar>
            <w:vAlign w:val="center"/>
          </w:tcPr>
          <w:p w:rsidR="001B32C2" w:rsidRDefault="00000000">
            <w:r>
              <w:rPr>
                <w:color w:val="000000"/>
                <w:sz w:val="18"/>
                <w:szCs w:val="18"/>
              </w:rPr>
              <w:t>Josh Madakor, Owner — Log(N) Pacific</w:t>
            </w:r>
          </w:p>
        </w:tc>
      </w:tr>
      <w:tr w:rsidR="001B32C2">
        <w:tblPrEx>
          <w:tblCellMar>
            <w:top w:w="0" w:type="dxa"/>
            <w:bottom w:w="0" w:type="dxa"/>
          </w:tblCellMar>
        </w:tblPrEx>
        <w:tc>
          <w:tcPr>
            <w:tcW w:w="2400" w:type="dxa"/>
            <w:shd w:val="clear" w:color="auto" w:fill="1F2937"/>
            <w:tcMar>
              <w:top w:w="60" w:type="dxa"/>
              <w:left w:w="80" w:type="dxa"/>
              <w:bottom w:w="60" w:type="dxa"/>
              <w:right w:w="80" w:type="dxa"/>
            </w:tcMar>
            <w:vAlign w:val="center"/>
          </w:tcPr>
          <w:p w:rsidR="001B32C2" w:rsidRDefault="00000000">
            <w:r>
              <w:rPr>
                <w:b/>
                <w:bCs/>
                <w:color w:val="FFFFFF"/>
                <w:sz w:val="18"/>
                <w:szCs w:val="18"/>
              </w:rPr>
              <w:t>Framework Reference</w:t>
            </w:r>
          </w:p>
        </w:tc>
        <w:tc>
          <w:tcPr>
            <w:tcW w:w="3600" w:type="dxa"/>
            <w:tcMar>
              <w:top w:w="60" w:type="dxa"/>
              <w:left w:w="80" w:type="dxa"/>
              <w:bottom w:w="60" w:type="dxa"/>
              <w:right w:w="80" w:type="dxa"/>
            </w:tcMar>
            <w:vAlign w:val="center"/>
          </w:tcPr>
          <w:p w:rsidR="001B32C2" w:rsidRDefault="00000000">
            <w:r>
              <w:rPr>
                <w:color w:val="000000"/>
                <w:sz w:val="18"/>
                <w:szCs w:val="18"/>
              </w:rPr>
              <w:t>NIST SP 800-61 Rev. 2; NIST CSF 2.0 RS Function</w:t>
            </w:r>
          </w:p>
        </w:tc>
      </w:tr>
      <w:tr w:rsidR="001B32C2">
        <w:tblPrEx>
          <w:tblCellMar>
            <w:top w:w="0" w:type="dxa"/>
            <w:bottom w:w="0" w:type="dxa"/>
          </w:tblCellMar>
        </w:tblPrEx>
        <w:tc>
          <w:tcPr>
            <w:tcW w:w="2400" w:type="dxa"/>
            <w:shd w:val="clear" w:color="auto" w:fill="1F2937"/>
            <w:tcMar>
              <w:top w:w="60" w:type="dxa"/>
              <w:left w:w="80" w:type="dxa"/>
              <w:bottom w:w="60" w:type="dxa"/>
              <w:right w:w="80" w:type="dxa"/>
            </w:tcMar>
            <w:vAlign w:val="center"/>
          </w:tcPr>
          <w:p w:rsidR="001B32C2" w:rsidRDefault="00000000">
            <w:r>
              <w:rPr>
                <w:b/>
                <w:bCs/>
                <w:color w:val="FFFFFF"/>
                <w:sz w:val="18"/>
                <w:szCs w:val="18"/>
              </w:rPr>
              <w:t>Next Review Date</w:t>
            </w:r>
          </w:p>
        </w:tc>
        <w:tc>
          <w:tcPr>
            <w:tcW w:w="3600" w:type="dxa"/>
            <w:tcMar>
              <w:top w:w="60" w:type="dxa"/>
              <w:left w:w="80" w:type="dxa"/>
              <w:bottom w:w="60" w:type="dxa"/>
              <w:right w:w="80" w:type="dxa"/>
            </w:tcMar>
            <w:vAlign w:val="center"/>
          </w:tcPr>
          <w:p w:rsidR="001B32C2" w:rsidRDefault="00000000">
            <w:r>
              <w:rPr>
                <w:color w:val="000000"/>
                <w:sz w:val="18"/>
                <w:szCs w:val="18"/>
              </w:rPr>
              <w:t>Ju</w:t>
            </w:r>
            <w:proofErr w:type="spellStart"/>
            <w:r w:rsidR="002D47E8">
              <w:rPr>
                <w:color w:val="000000"/>
                <w:sz w:val="18"/>
                <w:szCs w:val="18"/>
                <w:lang w:val="en-US"/>
              </w:rPr>
              <w:t>ly</w:t>
            </w:r>
            <w:proofErr w:type="spellEnd"/>
            <w:r>
              <w:rPr>
                <w:color w:val="000000"/>
                <w:sz w:val="18"/>
                <w:szCs w:val="18"/>
              </w:rPr>
              <w:t xml:space="preserve"> 2027 (annual) or after any declared incident</w:t>
            </w:r>
          </w:p>
        </w:tc>
      </w:tr>
    </w:tbl>
    <w:p w:rsidR="001B32C2" w:rsidRDefault="001B32C2">
      <w:pPr>
        <w:spacing w:after="120"/>
      </w:pPr>
    </w:p>
    <w:p w:rsidR="001B32C2" w:rsidRDefault="001B32C2">
      <w:pPr>
        <w:spacing w:after="120"/>
      </w:pPr>
    </w:p>
    <w:p w:rsidR="001B32C2" w:rsidRDefault="001B32C2">
      <w:pPr>
        <w:pBdr>
          <w:top w:val="single" w:sz="4" w:space="0" w:color="CCCCCC"/>
        </w:pBdr>
      </w:pPr>
    </w:p>
    <w:p w:rsidR="001B32C2" w:rsidRDefault="001B32C2">
      <w:pPr>
        <w:spacing w:after="120"/>
      </w:pPr>
    </w:p>
    <w:p w:rsidR="001B32C2" w:rsidRDefault="00000000">
      <w:pPr>
        <w:pStyle w:val="Heading1"/>
        <w:pBdr>
          <w:bottom w:val="single" w:sz="8" w:space="0" w:color="1F2937"/>
        </w:pBdr>
      </w:pPr>
      <w:r>
        <w:t>1. PURPOSE AND SCOPE</w:t>
      </w:r>
    </w:p>
    <w:p w:rsidR="001B32C2" w:rsidRDefault="00000000">
      <w:pPr>
        <w:spacing w:after="80"/>
      </w:pPr>
      <w:r>
        <w:rPr>
          <w:color w:val="000000"/>
        </w:rPr>
        <w:t>This Incident Response Plan (IRP) establishes the procedures Log(N) Pacific follows to prepare for, detect, contain, eradicate, recover from, and learn from cybersecurity incidents affecting the company or its Azure-hosted Cyber Range platform.</w:t>
      </w:r>
    </w:p>
    <w:p w:rsidR="001B32C2" w:rsidRDefault="00000000">
      <w:pPr>
        <w:spacing w:after="80"/>
      </w:pPr>
      <w:r>
        <w:rPr>
          <w:color w:val="000000"/>
        </w:rPr>
        <w:t>This plan is based on the NIST SP 800-61 Rev. 2 incident handling lifecycle and formalizes the approach Josh Madakor has demonstrated in practice, including during the Chinese attacker incident. It is designed to be usable by any member of the admin team, not just the owner.</w:t>
      </w:r>
    </w:p>
    <w:p w:rsidR="001B32C2" w:rsidRDefault="001B32C2">
      <w:pPr>
        <w:spacing w:after="120"/>
      </w:pPr>
    </w:p>
    <w:p w:rsidR="001B32C2" w:rsidRDefault="00000000">
      <w:pPr>
        <w:pStyle w:val="Heading2"/>
      </w:pPr>
      <w:r>
        <w:t>1.1 Scope</w:t>
      </w:r>
    </w:p>
    <w:p w:rsidR="001B32C2" w:rsidRDefault="00000000">
      <w:pPr>
        <w:pStyle w:val="ListParagraph"/>
        <w:numPr>
          <w:ilvl w:val="0"/>
          <w:numId w:val="2"/>
        </w:numPr>
        <w:spacing w:after="50"/>
      </w:pPr>
      <w:r>
        <w:t>The Log(N) Pacific Azure tenant and all resources within it, including Entra ID, Microsoft Sentinel, Defender for Endpoint, and the Cyber Range infrastructure.</w:t>
      </w:r>
    </w:p>
    <w:p w:rsidR="001B32C2" w:rsidRDefault="00000000">
      <w:pPr>
        <w:pStyle w:val="ListParagraph"/>
        <w:numPr>
          <w:ilvl w:val="0"/>
          <w:numId w:val="2"/>
        </w:numPr>
        <w:spacing w:after="50"/>
      </w:pPr>
      <w:r>
        <w:t>Company-owned virtual machines and the Tenable scan engine.</w:t>
      </w:r>
    </w:p>
    <w:p w:rsidR="001B32C2" w:rsidRDefault="00000000">
      <w:pPr>
        <w:pStyle w:val="ListParagraph"/>
        <w:numPr>
          <w:ilvl w:val="0"/>
          <w:numId w:val="2"/>
        </w:numPr>
        <w:spacing w:after="50"/>
      </w:pPr>
      <w:r>
        <w:t>Admin accounts and SaaS platforms used to operate the business (Microsoft 365, Skool).</w:t>
      </w:r>
    </w:p>
    <w:p w:rsidR="001B32C2" w:rsidRDefault="00000000">
      <w:pPr>
        <w:pStyle w:val="ListParagraph"/>
        <w:numPr>
          <w:ilvl w:val="0"/>
          <w:numId w:val="2"/>
        </w:numPr>
        <w:spacing w:after="50"/>
      </w:pPr>
      <w:r>
        <w:t>Student accounts and Cyber Range VMs are in scope only when a student-side incident directly affects company assets or data.</w:t>
      </w:r>
    </w:p>
    <w:p w:rsidR="001B32C2" w:rsidRDefault="001B32C2">
      <w:pPr>
        <w:spacing w:after="120"/>
      </w:pPr>
    </w:p>
    <w:p w:rsidR="001B32C2" w:rsidRDefault="00000000">
      <w:pPr>
        <w:pStyle w:val="Heading1"/>
        <w:pBdr>
          <w:bottom w:val="single" w:sz="8" w:space="0" w:color="1F2937"/>
        </w:pBdr>
      </w:pPr>
      <w:r>
        <w:t>2. INCIDENT CLASSIFICATION</w:t>
      </w:r>
    </w:p>
    <w:p w:rsidR="001B32C2" w:rsidRDefault="00000000">
      <w:pPr>
        <w:spacing w:after="80"/>
      </w:pPr>
      <w:r>
        <w:rPr>
          <w:color w:val="000000"/>
        </w:rPr>
        <w:t>Not every alert is an incident. This section defines what constitutes an incident and how to classify its severity so the team responds proportionately.</w:t>
      </w:r>
    </w:p>
    <w:p w:rsidR="001B32C2" w:rsidRDefault="001B32C2">
      <w:pPr>
        <w:spacing w:after="120"/>
      </w:pPr>
    </w:p>
    <w:p w:rsidR="001B32C2" w:rsidRDefault="00000000">
      <w:pPr>
        <w:pStyle w:val="Heading2"/>
      </w:pPr>
      <w:r>
        <w:t>2.1 What Counts as an Incident</w:t>
      </w:r>
    </w:p>
    <w:p w:rsidR="001B32C2" w:rsidRDefault="00000000">
      <w:pPr>
        <w:spacing w:after="80"/>
      </w:pPr>
      <w:r>
        <w:rPr>
          <w:color w:val="000000"/>
        </w:rPr>
        <w:t>An incident is any event that actually or potentially compromises the confidentiality, integrity, or availability of Log(N) Pacific's systems, data, or operations. Examples include:</w:t>
      </w:r>
    </w:p>
    <w:p w:rsidR="001B32C2" w:rsidRDefault="00000000">
      <w:pPr>
        <w:pStyle w:val="ListParagraph"/>
        <w:numPr>
          <w:ilvl w:val="0"/>
          <w:numId w:val="2"/>
        </w:numPr>
        <w:spacing w:after="50"/>
      </w:pPr>
      <w:r>
        <w:lastRenderedPageBreak/>
        <w:t>Unauthorized access to an admin account or the Azure management plane.</w:t>
      </w:r>
    </w:p>
    <w:p w:rsidR="001B32C2" w:rsidRDefault="00000000">
      <w:pPr>
        <w:pStyle w:val="ListParagraph"/>
        <w:numPr>
          <w:ilvl w:val="0"/>
          <w:numId w:val="2"/>
        </w:numPr>
        <w:spacing w:after="50"/>
      </w:pPr>
      <w:r>
        <w:t>Malware or ransomware on a company-owned VM.</w:t>
      </w:r>
    </w:p>
    <w:p w:rsidR="001B32C2" w:rsidRDefault="00000000">
      <w:pPr>
        <w:pStyle w:val="ListParagraph"/>
        <w:numPr>
          <w:ilvl w:val="0"/>
          <w:numId w:val="2"/>
        </w:numPr>
        <w:spacing w:after="50"/>
      </w:pPr>
      <w:r>
        <w:t>Data exfiltration from company or student data.</w:t>
      </w:r>
    </w:p>
    <w:p w:rsidR="001B32C2" w:rsidRDefault="00000000">
      <w:pPr>
        <w:pStyle w:val="ListParagraph"/>
        <w:numPr>
          <w:ilvl w:val="0"/>
          <w:numId w:val="2"/>
        </w:numPr>
        <w:spacing w:after="50"/>
      </w:pPr>
      <w:r>
        <w:t>A confirmed attacker establishing persistence in the Azure tenant.</w:t>
      </w:r>
    </w:p>
    <w:p w:rsidR="001B32C2" w:rsidRDefault="00000000">
      <w:pPr>
        <w:pStyle w:val="ListParagraph"/>
        <w:numPr>
          <w:ilvl w:val="0"/>
          <w:numId w:val="2"/>
        </w:numPr>
        <w:spacing w:after="50"/>
      </w:pPr>
      <w:r>
        <w:t>Prolonged platform unavailability caused by a security event (not a routine Azure outage).</w:t>
      </w:r>
    </w:p>
    <w:p w:rsidR="001B32C2" w:rsidRDefault="001B32C2">
      <w:pPr>
        <w:spacing w:after="120"/>
      </w:pPr>
    </w:p>
    <w:p w:rsidR="001B32C2" w:rsidRDefault="00000000">
      <w:pPr>
        <w:spacing w:after="80"/>
      </w:pPr>
      <w:r>
        <w:rPr>
          <w:color w:val="000000"/>
        </w:rPr>
        <w:t>The following are NOT incidents under this plan and should be handled as routine operations:</w:t>
      </w:r>
    </w:p>
    <w:p w:rsidR="001B32C2" w:rsidRDefault="00000000">
      <w:pPr>
        <w:pStyle w:val="ListParagraph"/>
        <w:numPr>
          <w:ilvl w:val="0"/>
          <w:numId w:val="2"/>
        </w:numPr>
        <w:spacing w:after="50"/>
      </w:pPr>
      <w:r>
        <w:t>Student-side alerts on Cyber Range VMs that are part of planned training exercises.</w:t>
      </w:r>
    </w:p>
    <w:p w:rsidR="001B32C2" w:rsidRDefault="00000000">
      <w:pPr>
        <w:pStyle w:val="ListParagraph"/>
        <w:numPr>
          <w:ilvl w:val="0"/>
          <w:numId w:val="2"/>
        </w:numPr>
        <w:spacing w:after="50"/>
      </w:pPr>
      <w:r>
        <w:t>Azure service outages with no security component — handle via Azure Service Health.</w:t>
      </w:r>
    </w:p>
    <w:p w:rsidR="001B32C2" w:rsidRDefault="00000000">
      <w:pPr>
        <w:pStyle w:val="ListParagraph"/>
        <w:numPr>
          <w:ilvl w:val="0"/>
          <w:numId w:val="2"/>
        </w:numPr>
        <w:spacing w:after="50"/>
      </w:pPr>
      <w:r>
        <w:t>Failed MFA prompts from a known user who is simply locked out.</w:t>
      </w:r>
    </w:p>
    <w:p w:rsidR="001B32C2" w:rsidRDefault="001B32C2">
      <w:pPr>
        <w:spacing w:after="120"/>
      </w:pPr>
    </w:p>
    <w:p w:rsidR="001B32C2" w:rsidRDefault="00000000">
      <w:pPr>
        <w:pStyle w:val="Heading2"/>
      </w:pPr>
      <w:r>
        <w:t>2.2 Severity Classification</w:t>
      </w:r>
    </w:p>
    <w:p w:rsidR="001B32C2" w:rsidRDefault="00000000">
      <w:pPr>
        <w:spacing w:after="80"/>
      </w:pPr>
      <w:r>
        <w:rPr>
          <w:color w:val="000000"/>
        </w:rPr>
        <w:t>Use the table below to classify an incident. When in doubt, classify higher and downgrade after investigation.</w:t>
      </w:r>
    </w:p>
    <w:p w:rsidR="001B32C2" w:rsidRDefault="001B32C2">
      <w:pPr>
        <w:spacing w:after="120"/>
      </w:pP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4200"/>
        <w:gridCol w:w="3000"/>
      </w:tblGrid>
      <w:tr w:rsidR="001B32C2">
        <w:tblPrEx>
          <w:tblCellMar>
            <w:top w:w="0" w:type="dxa"/>
            <w:bottom w:w="0" w:type="dxa"/>
          </w:tblCellMar>
        </w:tblPrEx>
        <w:trPr>
          <w:tblHeader/>
        </w:trPr>
        <w:tc>
          <w:tcPr>
            <w:tcW w:w="1200" w:type="dxa"/>
            <w:shd w:val="clear" w:color="auto" w:fill="1F2937"/>
            <w:tcMar>
              <w:top w:w="60" w:type="dxa"/>
              <w:left w:w="80" w:type="dxa"/>
              <w:bottom w:w="60" w:type="dxa"/>
              <w:right w:w="80" w:type="dxa"/>
            </w:tcMar>
            <w:vAlign w:val="center"/>
          </w:tcPr>
          <w:p w:rsidR="001B32C2" w:rsidRDefault="00000000">
            <w:r>
              <w:rPr>
                <w:b/>
                <w:bCs/>
                <w:color w:val="FFFFFF"/>
                <w:sz w:val="18"/>
                <w:szCs w:val="18"/>
              </w:rPr>
              <w:t>Severity</w:t>
            </w:r>
          </w:p>
        </w:tc>
        <w:tc>
          <w:tcPr>
            <w:tcW w:w="1800" w:type="dxa"/>
            <w:shd w:val="clear" w:color="auto" w:fill="1F2937"/>
            <w:tcMar>
              <w:top w:w="60" w:type="dxa"/>
              <w:left w:w="80" w:type="dxa"/>
              <w:bottom w:w="60" w:type="dxa"/>
              <w:right w:w="80" w:type="dxa"/>
            </w:tcMar>
            <w:vAlign w:val="center"/>
          </w:tcPr>
          <w:p w:rsidR="001B32C2" w:rsidRDefault="00000000">
            <w:r>
              <w:rPr>
                <w:b/>
                <w:bCs/>
                <w:color w:val="FFFFFF"/>
                <w:sz w:val="18"/>
                <w:szCs w:val="18"/>
              </w:rPr>
              <w:t>Risk Score</w:t>
            </w:r>
          </w:p>
        </w:tc>
        <w:tc>
          <w:tcPr>
            <w:tcW w:w="4200" w:type="dxa"/>
            <w:shd w:val="clear" w:color="auto" w:fill="1F2937"/>
            <w:tcMar>
              <w:top w:w="60" w:type="dxa"/>
              <w:left w:w="80" w:type="dxa"/>
              <w:bottom w:w="60" w:type="dxa"/>
              <w:right w:w="80" w:type="dxa"/>
            </w:tcMar>
            <w:vAlign w:val="center"/>
          </w:tcPr>
          <w:p w:rsidR="001B32C2" w:rsidRDefault="00000000">
            <w:r>
              <w:rPr>
                <w:b/>
                <w:bCs/>
                <w:color w:val="FFFFFF"/>
                <w:sz w:val="18"/>
                <w:szCs w:val="18"/>
              </w:rPr>
              <w:t>Criteria</w:t>
            </w:r>
          </w:p>
        </w:tc>
        <w:tc>
          <w:tcPr>
            <w:tcW w:w="3000" w:type="dxa"/>
            <w:shd w:val="clear" w:color="auto" w:fill="1F2937"/>
            <w:tcMar>
              <w:top w:w="60" w:type="dxa"/>
              <w:left w:w="80" w:type="dxa"/>
              <w:bottom w:w="60" w:type="dxa"/>
              <w:right w:w="80" w:type="dxa"/>
            </w:tcMar>
            <w:vAlign w:val="center"/>
          </w:tcPr>
          <w:p w:rsidR="001B32C2" w:rsidRDefault="00000000">
            <w:r>
              <w:rPr>
                <w:b/>
                <w:bCs/>
                <w:color w:val="FFFFFF"/>
                <w:sz w:val="18"/>
                <w:szCs w:val="18"/>
              </w:rPr>
              <w:t>Example</w:t>
            </w:r>
          </w:p>
        </w:tc>
      </w:tr>
      <w:tr w:rsidR="001B32C2">
        <w:tblPrEx>
          <w:tblCellMar>
            <w:top w:w="0" w:type="dxa"/>
            <w:bottom w:w="0" w:type="dxa"/>
          </w:tblCellMar>
        </w:tblPrEx>
        <w:tc>
          <w:tcPr>
            <w:tcW w:w="1200" w:type="dxa"/>
            <w:shd w:val="clear" w:color="auto" w:fill="C00000"/>
            <w:tcMar>
              <w:top w:w="60" w:type="dxa"/>
              <w:left w:w="80" w:type="dxa"/>
              <w:bottom w:w="60" w:type="dxa"/>
              <w:right w:w="80" w:type="dxa"/>
            </w:tcMar>
            <w:vAlign w:val="center"/>
          </w:tcPr>
          <w:p w:rsidR="001B32C2" w:rsidRDefault="00000000">
            <w:r>
              <w:rPr>
                <w:b/>
                <w:bCs/>
                <w:color w:val="FFFFFF"/>
                <w:sz w:val="18"/>
                <w:szCs w:val="18"/>
              </w:rPr>
              <w:t>Critical</w:t>
            </w:r>
          </w:p>
        </w:tc>
        <w:tc>
          <w:tcPr>
            <w:tcW w:w="1800" w:type="dxa"/>
            <w:tcMar>
              <w:top w:w="60" w:type="dxa"/>
              <w:left w:w="80" w:type="dxa"/>
              <w:bottom w:w="60" w:type="dxa"/>
              <w:right w:w="80" w:type="dxa"/>
            </w:tcMar>
            <w:vAlign w:val="center"/>
          </w:tcPr>
          <w:p w:rsidR="001B32C2" w:rsidRDefault="00000000">
            <w:r>
              <w:rPr>
                <w:color w:val="000000"/>
                <w:sz w:val="18"/>
                <w:szCs w:val="18"/>
              </w:rPr>
              <w:t>12–25</w:t>
            </w:r>
          </w:p>
        </w:tc>
        <w:tc>
          <w:tcPr>
            <w:tcW w:w="4200" w:type="dxa"/>
            <w:tcMar>
              <w:top w:w="60" w:type="dxa"/>
              <w:left w:w="80" w:type="dxa"/>
              <w:bottom w:w="60" w:type="dxa"/>
              <w:right w:w="80" w:type="dxa"/>
            </w:tcMar>
            <w:vAlign w:val="center"/>
          </w:tcPr>
          <w:p w:rsidR="001B32C2" w:rsidRDefault="00000000">
            <w:r>
              <w:rPr>
                <w:color w:val="000000"/>
                <w:sz w:val="18"/>
                <w:szCs w:val="18"/>
              </w:rPr>
              <w:t>Admin account or Global Administrator compromised; ransomware; full tenant takeover; confirmed data breach</w:t>
            </w:r>
          </w:p>
        </w:tc>
        <w:tc>
          <w:tcPr>
            <w:tcW w:w="3000" w:type="dxa"/>
            <w:tcMar>
              <w:top w:w="60" w:type="dxa"/>
              <w:left w:w="80" w:type="dxa"/>
              <w:bottom w:w="60" w:type="dxa"/>
              <w:right w:w="80" w:type="dxa"/>
            </w:tcMar>
            <w:vAlign w:val="center"/>
          </w:tcPr>
          <w:p w:rsidR="001B32C2" w:rsidRDefault="00000000">
            <w:r>
              <w:rPr>
                <w:color w:val="000000"/>
                <w:sz w:val="18"/>
                <w:szCs w:val="18"/>
              </w:rPr>
              <w:t>Attacker escalates to Global Admin; ransomware on company VM</w:t>
            </w:r>
          </w:p>
        </w:tc>
      </w:tr>
      <w:tr w:rsidR="001B32C2">
        <w:tblPrEx>
          <w:tblCellMar>
            <w:top w:w="0" w:type="dxa"/>
            <w:bottom w:w="0" w:type="dxa"/>
          </w:tblCellMar>
        </w:tblPrEx>
        <w:tc>
          <w:tcPr>
            <w:tcW w:w="1200" w:type="dxa"/>
            <w:shd w:val="clear" w:color="auto" w:fill="E26B0A"/>
            <w:tcMar>
              <w:top w:w="60" w:type="dxa"/>
              <w:left w:w="80" w:type="dxa"/>
              <w:bottom w:w="60" w:type="dxa"/>
              <w:right w:w="80" w:type="dxa"/>
            </w:tcMar>
            <w:vAlign w:val="center"/>
          </w:tcPr>
          <w:p w:rsidR="001B32C2" w:rsidRDefault="00000000">
            <w:r>
              <w:rPr>
                <w:b/>
                <w:bCs/>
                <w:color w:val="FFFFFF"/>
                <w:sz w:val="18"/>
                <w:szCs w:val="18"/>
              </w:rPr>
              <w:t>High</w:t>
            </w:r>
          </w:p>
        </w:tc>
        <w:tc>
          <w:tcPr>
            <w:tcW w:w="1800" w:type="dxa"/>
            <w:tcMar>
              <w:top w:w="60" w:type="dxa"/>
              <w:left w:w="80" w:type="dxa"/>
              <w:bottom w:w="60" w:type="dxa"/>
              <w:right w:w="80" w:type="dxa"/>
            </w:tcMar>
            <w:vAlign w:val="center"/>
          </w:tcPr>
          <w:p w:rsidR="001B32C2" w:rsidRDefault="00000000">
            <w:r>
              <w:rPr>
                <w:color w:val="000000"/>
                <w:sz w:val="18"/>
                <w:szCs w:val="18"/>
              </w:rPr>
              <w:t>7–11</w:t>
            </w:r>
          </w:p>
        </w:tc>
        <w:tc>
          <w:tcPr>
            <w:tcW w:w="4200" w:type="dxa"/>
            <w:tcMar>
              <w:top w:w="60" w:type="dxa"/>
              <w:left w:w="80" w:type="dxa"/>
              <w:bottom w:w="60" w:type="dxa"/>
              <w:right w:w="80" w:type="dxa"/>
            </w:tcMar>
            <w:vAlign w:val="center"/>
          </w:tcPr>
          <w:p w:rsidR="001B32C2" w:rsidRDefault="00000000">
            <w:r>
              <w:rPr>
                <w:color w:val="000000"/>
                <w:sz w:val="18"/>
                <w:szCs w:val="18"/>
              </w:rPr>
              <w:t>Suspected account compromise; malware detected on company asset; confirmed unauthorized access to Azure environment</w:t>
            </w:r>
          </w:p>
        </w:tc>
        <w:tc>
          <w:tcPr>
            <w:tcW w:w="3000" w:type="dxa"/>
            <w:tcMar>
              <w:top w:w="60" w:type="dxa"/>
              <w:left w:w="80" w:type="dxa"/>
              <w:bottom w:w="60" w:type="dxa"/>
              <w:right w:w="80" w:type="dxa"/>
            </w:tcMar>
            <w:vAlign w:val="center"/>
          </w:tcPr>
          <w:p w:rsidR="001B32C2" w:rsidRDefault="00000000">
            <w:r>
              <w:rPr>
                <w:color w:val="000000"/>
                <w:sz w:val="18"/>
                <w:szCs w:val="18"/>
              </w:rPr>
              <w:t>Defender flags lateral movement on company VM</w:t>
            </w:r>
          </w:p>
        </w:tc>
      </w:tr>
      <w:tr w:rsidR="001B32C2">
        <w:tblPrEx>
          <w:tblCellMar>
            <w:top w:w="0" w:type="dxa"/>
            <w:bottom w:w="0" w:type="dxa"/>
          </w:tblCellMar>
        </w:tblPrEx>
        <w:tc>
          <w:tcPr>
            <w:tcW w:w="1200" w:type="dxa"/>
            <w:shd w:val="clear" w:color="auto" w:fill="FFC000"/>
            <w:tcMar>
              <w:top w:w="60" w:type="dxa"/>
              <w:left w:w="80" w:type="dxa"/>
              <w:bottom w:w="60" w:type="dxa"/>
              <w:right w:w="80" w:type="dxa"/>
            </w:tcMar>
            <w:vAlign w:val="center"/>
          </w:tcPr>
          <w:p w:rsidR="001B32C2" w:rsidRDefault="00000000">
            <w:r>
              <w:rPr>
                <w:b/>
                <w:bCs/>
                <w:color w:val="000000"/>
                <w:sz w:val="18"/>
                <w:szCs w:val="18"/>
              </w:rPr>
              <w:t>Medium</w:t>
            </w:r>
          </w:p>
        </w:tc>
        <w:tc>
          <w:tcPr>
            <w:tcW w:w="1800" w:type="dxa"/>
            <w:tcMar>
              <w:top w:w="60" w:type="dxa"/>
              <w:left w:w="80" w:type="dxa"/>
              <w:bottom w:w="60" w:type="dxa"/>
              <w:right w:w="80" w:type="dxa"/>
            </w:tcMar>
            <w:vAlign w:val="center"/>
          </w:tcPr>
          <w:p w:rsidR="001B32C2" w:rsidRDefault="00000000">
            <w:r>
              <w:rPr>
                <w:color w:val="000000"/>
                <w:sz w:val="18"/>
                <w:szCs w:val="18"/>
              </w:rPr>
              <w:t>4–6</w:t>
            </w:r>
          </w:p>
        </w:tc>
        <w:tc>
          <w:tcPr>
            <w:tcW w:w="4200" w:type="dxa"/>
            <w:tcMar>
              <w:top w:w="60" w:type="dxa"/>
              <w:left w:w="80" w:type="dxa"/>
              <w:bottom w:w="60" w:type="dxa"/>
              <w:right w:w="80" w:type="dxa"/>
            </w:tcMar>
            <w:vAlign w:val="center"/>
          </w:tcPr>
          <w:p w:rsidR="001B32C2" w:rsidRDefault="00000000">
            <w:r>
              <w:rPr>
                <w:color w:val="000000"/>
                <w:sz w:val="18"/>
                <w:szCs w:val="18"/>
              </w:rPr>
              <w:t>Anomalous login patterns; brute force against admin accounts; suspicious forwarding rule created on admin mailbox</w:t>
            </w:r>
          </w:p>
        </w:tc>
        <w:tc>
          <w:tcPr>
            <w:tcW w:w="3000" w:type="dxa"/>
            <w:tcMar>
              <w:top w:w="60" w:type="dxa"/>
              <w:left w:w="80" w:type="dxa"/>
              <w:bottom w:w="60" w:type="dxa"/>
              <w:right w:w="80" w:type="dxa"/>
            </w:tcMar>
            <w:vAlign w:val="center"/>
          </w:tcPr>
          <w:p w:rsidR="001B32C2" w:rsidRDefault="00000000">
            <w:r>
              <w:rPr>
                <w:color w:val="000000"/>
                <w:sz w:val="18"/>
                <w:szCs w:val="18"/>
              </w:rPr>
              <w:t>Multiple failed MFA attempts on Josh's account from unfamiliar IP</w:t>
            </w:r>
          </w:p>
        </w:tc>
      </w:tr>
      <w:tr w:rsidR="001B32C2">
        <w:tblPrEx>
          <w:tblCellMar>
            <w:top w:w="0" w:type="dxa"/>
            <w:bottom w:w="0" w:type="dxa"/>
          </w:tblCellMar>
        </w:tblPrEx>
        <w:tc>
          <w:tcPr>
            <w:tcW w:w="1200" w:type="dxa"/>
            <w:shd w:val="clear" w:color="auto" w:fill="92D050"/>
            <w:tcMar>
              <w:top w:w="60" w:type="dxa"/>
              <w:left w:w="80" w:type="dxa"/>
              <w:bottom w:w="60" w:type="dxa"/>
              <w:right w:w="80" w:type="dxa"/>
            </w:tcMar>
            <w:vAlign w:val="center"/>
          </w:tcPr>
          <w:p w:rsidR="001B32C2" w:rsidRDefault="00000000">
            <w:r>
              <w:rPr>
                <w:b/>
                <w:bCs/>
                <w:color w:val="000000"/>
                <w:sz w:val="18"/>
                <w:szCs w:val="18"/>
              </w:rPr>
              <w:t>Low</w:t>
            </w:r>
          </w:p>
        </w:tc>
        <w:tc>
          <w:tcPr>
            <w:tcW w:w="1800" w:type="dxa"/>
            <w:tcMar>
              <w:top w:w="60" w:type="dxa"/>
              <w:left w:w="80" w:type="dxa"/>
              <w:bottom w:w="60" w:type="dxa"/>
              <w:right w:w="80" w:type="dxa"/>
            </w:tcMar>
            <w:vAlign w:val="center"/>
          </w:tcPr>
          <w:p w:rsidR="001B32C2" w:rsidRDefault="00000000">
            <w:r>
              <w:rPr>
                <w:color w:val="000000"/>
                <w:sz w:val="18"/>
                <w:szCs w:val="18"/>
              </w:rPr>
              <w:t>1–3</w:t>
            </w:r>
          </w:p>
        </w:tc>
        <w:tc>
          <w:tcPr>
            <w:tcW w:w="4200" w:type="dxa"/>
            <w:tcMar>
              <w:top w:w="60" w:type="dxa"/>
              <w:left w:w="80" w:type="dxa"/>
              <w:bottom w:w="60" w:type="dxa"/>
              <w:right w:w="80" w:type="dxa"/>
            </w:tcMar>
            <w:vAlign w:val="center"/>
          </w:tcPr>
          <w:p w:rsidR="001B32C2" w:rsidRDefault="00000000">
            <w:r>
              <w:rPr>
                <w:color w:val="000000"/>
                <w:sz w:val="18"/>
                <w:szCs w:val="18"/>
              </w:rPr>
              <w:t>Isolated anomaly with no confirmed impact; single failed login from known user; informational Defender alert</w:t>
            </w:r>
          </w:p>
        </w:tc>
        <w:tc>
          <w:tcPr>
            <w:tcW w:w="3000" w:type="dxa"/>
            <w:tcMar>
              <w:top w:w="60" w:type="dxa"/>
              <w:left w:w="80" w:type="dxa"/>
              <w:bottom w:w="60" w:type="dxa"/>
              <w:right w:w="80" w:type="dxa"/>
            </w:tcMar>
            <w:vAlign w:val="center"/>
          </w:tcPr>
          <w:p w:rsidR="001B32C2" w:rsidRDefault="00000000">
            <w:r>
              <w:rPr>
                <w:color w:val="000000"/>
                <w:sz w:val="18"/>
                <w:szCs w:val="18"/>
              </w:rPr>
              <w:t>Single failed login attempt on a student account</w:t>
            </w:r>
          </w:p>
        </w:tc>
      </w:tr>
    </w:tbl>
    <w:p w:rsidR="001B32C2" w:rsidRDefault="001B32C2">
      <w:pPr>
        <w:spacing w:after="120"/>
      </w:pPr>
    </w:p>
    <w:p w:rsidR="001B32C2" w:rsidRDefault="00000000">
      <w:pPr>
        <w:pStyle w:val="Heading1"/>
        <w:pBdr>
          <w:bottom w:val="single" w:sz="8" w:space="0" w:color="1F2937"/>
        </w:pBdr>
      </w:pPr>
      <w:r>
        <w:t>3. ROLES AND RESPONSIBILITIES</w:t>
      </w:r>
    </w:p>
    <w:p w:rsidR="001B32C2" w:rsidRDefault="001B32C2">
      <w:pPr>
        <w:spacing w:after="120"/>
      </w:pP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5400"/>
      </w:tblGrid>
      <w:tr w:rsidR="001B32C2">
        <w:tblPrEx>
          <w:tblCellMar>
            <w:top w:w="0" w:type="dxa"/>
            <w:bottom w:w="0" w:type="dxa"/>
          </w:tblCellMar>
        </w:tblPrEx>
        <w:trPr>
          <w:tblHeader/>
        </w:trPr>
        <w:tc>
          <w:tcPr>
            <w:tcW w:w="2400" w:type="dxa"/>
            <w:shd w:val="clear" w:color="auto" w:fill="1F2937"/>
            <w:tcMar>
              <w:top w:w="60" w:type="dxa"/>
              <w:left w:w="80" w:type="dxa"/>
              <w:bottom w:w="60" w:type="dxa"/>
              <w:right w:w="80" w:type="dxa"/>
            </w:tcMar>
            <w:vAlign w:val="center"/>
          </w:tcPr>
          <w:p w:rsidR="001B32C2" w:rsidRDefault="00000000">
            <w:r>
              <w:rPr>
                <w:b/>
                <w:bCs/>
                <w:color w:val="FFFFFF"/>
                <w:sz w:val="18"/>
                <w:szCs w:val="18"/>
              </w:rPr>
              <w:t>Role</w:t>
            </w:r>
          </w:p>
        </w:tc>
        <w:tc>
          <w:tcPr>
            <w:tcW w:w="2400" w:type="dxa"/>
            <w:shd w:val="clear" w:color="auto" w:fill="1F2937"/>
            <w:tcMar>
              <w:top w:w="60" w:type="dxa"/>
              <w:left w:w="80" w:type="dxa"/>
              <w:bottom w:w="60" w:type="dxa"/>
              <w:right w:w="80" w:type="dxa"/>
            </w:tcMar>
            <w:vAlign w:val="center"/>
          </w:tcPr>
          <w:p w:rsidR="001B32C2" w:rsidRDefault="00000000">
            <w:r>
              <w:rPr>
                <w:b/>
                <w:bCs/>
                <w:color w:val="FFFFFF"/>
                <w:sz w:val="18"/>
                <w:szCs w:val="18"/>
              </w:rPr>
              <w:t>Assigned To</w:t>
            </w:r>
          </w:p>
        </w:tc>
        <w:tc>
          <w:tcPr>
            <w:tcW w:w="5400" w:type="dxa"/>
            <w:shd w:val="clear" w:color="auto" w:fill="1F2937"/>
            <w:tcMar>
              <w:top w:w="60" w:type="dxa"/>
              <w:left w:w="80" w:type="dxa"/>
              <w:bottom w:w="60" w:type="dxa"/>
              <w:right w:w="80" w:type="dxa"/>
            </w:tcMar>
            <w:vAlign w:val="center"/>
          </w:tcPr>
          <w:p w:rsidR="001B32C2" w:rsidRDefault="00000000">
            <w:r>
              <w:rPr>
                <w:b/>
                <w:bCs/>
                <w:color w:val="FFFFFF"/>
                <w:sz w:val="18"/>
                <w:szCs w:val="18"/>
              </w:rPr>
              <w:t>Responsibilities</w:t>
            </w:r>
          </w:p>
        </w:tc>
      </w:tr>
      <w:tr w:rsidR="001B32C2">
        <w:tblPrEx>
          <w:tblCellMar>
            <w:top w:w="0" w:type="dxa"/>
            <w:bottom w:w="0" w:type="dxa"/>
          </w:tblCellMar>
        </w:tblPrEx>
        <w:tc>
          <w:tcPr>
            <w:tcW w:w="2400" w:type="dxa"/>
            <w:tcMar>
              <w:top w:w="60" w:type="dxa"/>
              <w:left w:w="80" w:type="dxa"/>
              <w:bottom w:w="60" w:type="dxa"/>
              <w:right w:w="80" w:type="dxa"/>
            </w:tcMar>
            <w:vAlign w:val="center"/>
          </w:tcPr>
          <w:p w:rsidR="001B32C2" w:rsidRDefault="00000000">
            <w:r>
              <w:rPr>
                <w:color w:val="000000"/>
                <w:sz w:val="18"/>
                <w:szCs w:val="18"/>
              </w:rPr>
              <w:t>Incident Commander</w:t>
            </w:r>
          </w:p>
        </w:tc>
        <w:tc>
          <w:tcPr>
            <w:tcW w:w="2400" w:type="dxa"/>
            <w:tcMar>
              <w:top w:w="60" w:type="dxa"/>
              <w:left w:w="80" w:type="dxa"/>
              <w:bottom w:w="60" w:type="dxa"/>
              <w:right w:w="80" w:type="dxa"/>
            </w:tcMar>
            <w:vAlign w:val="center"/>
          </w:tcPr>
          <w:p w:rsidR="001B32C2" w:rsidRDefault="00000000">
            <w:r>
              <w:rPr>
                <w:color w:val="000000"/>
                <w:sz w:val="18"/>
                <w:szCs w:val="18"/>
              </w:rPr>
              <w:t>Josh Madakor (primary)</w:t>
            </w:r>
          </w:p>
        </w:tc>
        <w:tc>
          <w:tcPr>
            <w:tcW w:w="5400" w:type="dxa"/>
            <w:tcMar>
              <w:top w:w="60" w:type="dxa"/>
              <w:left w:w="80" w:type="dxa"/>
              <w:bottom w:w="60" w:type="dxa"/>
              <w:right w:w="80" w:type="dxa"/>
            </w:tcMar>
            <w:vAlign w:val="center"/>
          </w:tcPr>
          <w:p w:rsidR="001B32C2" w:rsidRDefault="00000000">
            <w:r>
              <w:rPr>
                <w:color w:val="000000"/>
                <w:sz w:val="18"/>
                <w:szCs w:val="18"/>
              </w:rPr>
              <w:t>Declares incidents, makes containment decisions, approves external communications, signs off on closure.</w:t>
            </w:r>
          </w:p>
        </w:tc>
      </w:tr>
      <w:tr w:rsidR="001B32C2">
        <w:tblPrEx>
          <w:tblCellMar>
            <w:top w:w="0" w:type="dxa"/>
            <w:bottom w:w="0" w:type="dxa"/>
          </w:tblCellMar>
        </w:tblPrEx>
        <w:tc>
          <w:tcPr>
            <w:tcW w:w="2400" w:type="dxa"/>
            <w:shd w:val="clear" w:color="auto" w:fill="F3F4F6"/>
            <w:tcMar>
              <w:top w:w="60" w:type="dxa"/>
              <w:left w:w="80" w:type="dxa"/>
              <w:bottom w:w="60" w:type="dxa"/>
              <w:right w:w="80" w:type="dxa"/>
            </w:tcMar>
            <w:vAlign w:val="center"/>
          </w:tcPr>
          <w:p w:rsidR="001B32C2" w:rsidRDefault="00000000">
            <w:r>
              <w:rPr>
                <w:color w:val="000000"/>
                <w:sz w:val="18"/>
                <w:szCs w:val="18"/>
              </w:rPr>
              <w:t>Lead Analyst</w:t>
            </w:r>
          </w:p>
        </w:tc>
        <w:tc>
          <w:tcPr>
            <w:tcW w:w="2400" w:type="dxa"/>
            <w:shd w:val="clear" w:color="auto" w:fill="F3F4F6"/>
            <w:tcMar>
              <w:top w:w="60" w:type="dxa"/>
              <w:left w:w="80" w:type="dxa"/>
              <w:bottom w:w="60" w:type="dxa"/>
              <w:right w:w="80" w:type="dxa"/>
            </w:tcMar>
            <w:vAlign w:val="center"/>
          </w:tcPr>
          <w:p w:rsidR="001B32C2" w:rsidRDefault="00000000">
            <w:r>
              <w:rPr>
                <w:color w:val="000000"/>
                <w:sz w:val="18"/>
                <w:szCs w:val="18"/>
              </w:rPr>
              <w:t>Available admin / Chau Pham (interim)</w:t>
            </w:r>
          </w:p>
        </w:tc>
        <w:tc>
          <w:tcPr>
            <w:tcW w:w="5400" w:type="dxa"/>
            <w:shd w:val="clear" w:color="auto" w:fill="F3F4F6"/>
            <w:tcMar>
              <w:top w:w="60" w:type="dxa"/>
              <w:left w:w="80" w:type="dxa"/>
              <w:bottom w:w="60" w:type="dxa"/>
              <w:right w:w="80" w:type="dxa"/>
            </w:tcMar>
            <w:vAlign w:val="center"/>
          </w:tcPr>
          <w:p w:rsidR="001B32C2" w:rsidRDefault="00000000">
            <w:r>
              <w:rPr>
                <w:color w:val="000000"/>
                <w:sz w:val="18"/>
                <w:szCs w:val="18"/>
              </w:rPr>
              <w:t>Performs technical investigation, documents findings, executes containment and eradication steps.</w:t>
            </w:r>
          </w:p>
        </w:tc>
      </w:tr>
      <w:tr w:rsidR="001B32C2">
        <w:tblPrEx>
          <w:tblCellMar>
            <w:top w:w="0" w:type="dxa"/>
            <w:bottom w:w="0" w:type="dxa"/>
          </w:tblCellMar>
        </w:tblPrEx>
        <w:tc>
          <w:tcPr>
            <w:tcW w:w="2400" w:type="dxa"/>
            <w:tcMar>
              <w:top w:w="60" w:type="dxa"/>
              <w:left w:w="80" w:type="dxa"/>
              <w:bottom w:w="60" w:type="dxa"/>
              <w:right w:w="80" w:type="dxa"/>
            </w:tcMar>
            <w:vAlign w:val="center"/>
          </w:tcPr>
          <w:p w:rsidR="001B32C2" w:rsidRDefault="00000000">
            <w:r>
              <w:rPr>
                <w:color w:val="000000"/>
                <w:sz w:val="18"/>
                <w:szCs w:val="18"/>
              </w:rPr>
              <w:t>Communications Lead</w:t>
            </w:r>
          </w:p>
        </w:tc>
        <w:tc>
          <w:tcPr>
            <w:tcW w:w="2400" w:type="dxa"/>
            <w:tcMar>
              <w:top w:w="60" w:type="dxa"/>
              <w:left w:w="80" w:type="dxa"/>
              <w:bottom w:w="60" w:type="dxa"/>
              <w:right w:w="80" w:type="dxa"/>
            </w:tcMar>
            <w:vAlign w:val="center"/>
          </w:tcPr>
          <w:p w:rsidR="001B32C2" w:rsidRDefault="00000000">
            <w:r>
              <w:rPr>
                <w:color w:val="000000"/>
                <w:sz w:val="18"/>
                <w:szCs w:val="18"/>
              </w:rPr>
              <w:t>Josh Madakor</w:t>
            </w:r>
          </w:p>
        </w:tc>
        <w:tc>
          <w:tcPr>
            <w:tcW w:w="5400" w:type="dxa"/>
            <w:tcMar>
              <w:top w:w="60" w:type="dxa"/>
              <w:left w:w="80" w:type="dxa"/>
              <w:bottom w:w="60" w:type="dxa"/>
              <w:right w:w="80" w:type="dxa"/>
            </w:tcMar>
            <w:vAlign w:val="center"/>
          </w:tcPr>
          <w:p w:rsidR="001B32C2" w:rsidRDefault="00000000">
            <w:r>
              <w:rPr>
                <w:color w:val="000000"/>
                <w:sz w:val="18"/>
                <w:szCs w:val="18"/>
              </w:rPr>
              <w:t>Drafts and sends all external notifications to affected students and the Skool community.</w:t>
            </w:r>
          </w:p>
        </w:tc>
      </w:tr>
    </w:tbl>
    <w:p w:rsidR="001B32C2" w:rsidRDefault="001B32C2">
      <w:pPr>
        <w:spacing w:after="120"/>
      </w:pPr>
    </w:p>
    <w:p w:rsidR="001B32C2" w:rsidRDefault="00000000">
      <w:pPr>
        <w:spacing w:after="80"/>
      </w:pPr>
      <w:r>
        <w:rPr>
          <w:color w:val="000000"/>
        </w:rPr>
        <w:t>If Josh Madakor is unavailable, the most senior available admin assumes the Incident Commander role and contacts Josh as soon as possible.</w:t>
      </w:r>
    </w:p>
    <w:p w:rsidR="001B32C2" w:rsidRDefault="001B32C2">
      <w:pPr>
        <w:spacing w:after="120"/>
      </w:pPr>
    </w:p>
    <w:p w:rsidR="001B32C2" w:rsidRDefault="00000000">
      <w:pPr>
        <w:pStyle w:val="Heading1"/>
        <w:pBdr>
          <w:bottom w:val="single" w:sz="8" w:space="0" w:color="1F2937"/>
        </w:pBdr>
      </w:pPr>
      <w:r>
        <w:t>4. INCIDENT RESPONSE LIFECYCLE</w:t>
      </w:r>
    </w:p>
    <w:p w:rsidR="001B32C2" w:rsidRDefault="00000000">
      <w:pPr>
        <w:spacing w:after="80"/>
      </w:pPr>
      <w:r>
        <w:rPr>
          <w:color w:val="000000"/>
        </w:rPr>
        <w:t>Log(N) Pacific follows the four-phase NIST SP 800-61 lifecycle: Preparation → Detection &amp; Analysis → Containment, Eradication &amp; Recovery → Post-Incident Activity.</w:t>
      </w:r>
    </w:p>
    <w:p w:rsidR="001B32C2" w:rsidRDefault="001B32C2">
      <w:pPr>
        <w:spacing w:after="120"/>
      </w:pPr>
    </w:p>
    <w:p w:rsidR="001B32C2" w:rsidRDefault="00000000">
      <w:pPr>
        <w:pStyle w:val="Heading2"/>
      </w:pPr>
      <w:r>
        <w:lastRenderedPageBreak/>
        <w:t>Phase 1 — Preparation</w:t>
      </w:r>
    </w:p>
    <w:p w:rsidR="001B32C2" w:rsidRDefault="00000000">
      <w:pPr>
        <w:spacing w:after="80"/>
      </w:pPr>
      <w:r>
        <w:rPr>
          <w:color w:val="000000"/>
        </w:rPr>
        <w:t>Preparation activities that should be maintained on an ongoing basis:</w:t>
      </w:r>
    </w:p>
    <w:p w:rsidR="001B32C2" w:rsidRDefault="00000000">
      <w:pPr>
        <w:pStyle w:val="ListParagraph"/>
        <w:numPr>
          <w:ilvl w:val="0"/>
          <w:numId w:val="2"/>
        </w:numPr>
        <w:spacing w:after="50"/>
      </w:pPr>
      <w:r>
        <w:t>Ensure Microsoft Sentinel, Defender for Endpoint, and UEBA are active and connected.</w:t>
      </w:r>
    </w:p>
    <w:p w:rsidR="001B32C2" w:rsidRDefault="00000000">
      <w:pPr>
        <w:pStyle w:val="ListParagraph"/>
        <w:numPr>
          <w:ilvl w:val="0"/>
          <w:numId w:val="2"/>
        </w:numPr>
        <w:spacing w:after="50"/>
      </w:pPr>
      <w:r>
        <w:t>Ensure Azure Service Health alerts are configured to notify Josh of platform events.</w:t>
      </w:r>
    </w:p>
    <w:p w:rsidR="001B32C2" w:rsidRDefault="00000000">
      <w:pPr>
        <w:pStyle w:val="ListParagraph"/>
        <w:numPr>
          <w:ilvl w:val="0"/>
          <w:numId w:val="2"/>
        </w:numPr>
        <w:spacing w:after="50"/>
      </w:pPr>
      <w:r>
        <w:t>Ensure all admin accounts have MFA enforced and are using company-managed identities.</w:t>
      </w:r>
    </w:p>
    <w:p w:rsidR="001B32C2" w:rsidRDefault="00000000">
      <w:pPr>
        <w:pStyle w:val="ListParagraph"/>
        <w:numPr>
          <w:ilvl w:val="0"/>
          <w:numId w:val="2"/>
        </w:numPr>
        <w:spacing w:after="50"/>
      </w:pPr>
      <w:r>
        <w:t>Review this plan annually and after any declared incident.</w:t>
      </w:r>
    </w:p>
    <w:p w:rsidR="001B32C2" w:rsidRDefault="00000000">
      <w:pPr>
        <w:pStyle w:val="ListParagraph"/>
        <w:numPr>
          <w:ilvl w:val="0"/>
          <w:numId w:val="2"/>
        </w:numPr>
        <w:spacing w:after="50"/>
      </w:pPr>
      <w:r>
        <w:t>Ensure the Cyber Range warm standby environment is maintained and tested.</w:t>
      </w:r>
    </w:p>
    <w:p w:rsidR="001B32C2" w:rsidRDefault="001B32C2">
      <w:pPr>
        <w:spacing w:after="120"/>
      </w:pPr>
    </w:p>
    <w:p w:rsidR="001B32C2" w:rsidRDefault="00000000">
      <w:pPr>
        <w:pStyle w:val="Heading2"/>
      </w:pPr>
      <w:r>
        <w:t>Phase 2 — Detection and Analysis</w:t>
      </w:r>
    </w:p>
    <w:p w:rsidR="001B32C2" w:rsidRDefault="00000000">
      <w:pPr>
        <w:pStyle w:val="Heading2"/>
      </w:pPr>
      <w:r>
        <w:t>2a. Detection Sources</w:t>
      </w:r>
    </w:p>
    <w:p w:rsidR="001B32C2" w:rsidRDefault="00000000">
      <w:pPr>
        <w:spacing w:after="80"/>
      </w:pPr>
      <w:r>
        <w:rPr>
          <w:color w:val="000000"/>
        </w:rPr>
        <w:t>Incidents may be detected through any of the following:</w:t>
      </w:r>
    </w:p>
    <w:p w:rsidR="001B32C2" w:rsidRDefault="00000000">
      <w:pPr>
        <w:pStyle w:val="ListParagraph"/>
        <w:numPr>
          <w:ilvl w:val="0"/>
          <w:numId w:val="2"/>
        </w:numPr>
        <w:spacing w:after="50"/>
      </w:pPr>
      <w:r>
        <w:t>Microsoft Sentinel — analytics rules, Fusion alerts, UEBA anomalies.</w:t>
      </w:r>
    </w:p>
    <w:p w:rsidR="001B32C2" w:rsidRDefault="00000000">
      <w:pPr>
        <w:pStyle w:val="ListParagraph"/>
        <w:numPr>
          <w:ilvl w:val="0"/>
          <w:numId w:val="2"/>
        </w:numPr>
        <w:spacing w:after="50"/>
      </w:pPr>
      <w:r>
        <w:t>Defender for Endpoint — malware detections, behavioral alerts, EDR telemetry.</w:t>
      </w:r>
    </w:p>
    <w:p w:rsidR="001B32C2" w:rsidRDefault="00000000">
      <w:pPr>
        <w:pStyle w:val="ListParagraph"/>
        <w:numPr>
          <w:ilvl w:val="0"/>
          <w:numId w:val="2"/>
        </w:numPr>
        <w:spacing w:after="50"/>
      </w:pPr>
      <w:r>
        <w:t>Entra ID — risky sign-in alerts, MFA failures, role assignment changes.</w:t>
      </w:r>
    </w:p>
    <w:p w:rsidR="001B32C2" w:rsidRDefault="00000000">
      <w:pPr>
        <w:pStyle w:val="ListParagraph"/>
        <w:numPr>
          <w:ilvl w:val="0"/>
          <w:numId w:val="2"/>
        </w:numPr>
        <w:spacing w:after="50"/>
      </w:pPr>
      <w:r>
        <w:t>Azure Service Health — platform-level events with security implications.</w:t>
      </w:r>
    </w:p>
    <w:p w:rsidR="001B32C2" w:rsidRDefault="00000000">
      <w:pPr>
        <w:pStyle w:val="ListParagraph"/>
        <w:numPr>
          <w:ilvl w:val="0"/>
          <w:numId w:val="2"/>
        </w:numPr>
        <w:spacing w:after="50"/>
      </w:pPr>
      <w:r>
        <w:t>Manual observation — admin team member notices anomalous behavior.</w:t>
      </w:r>
    </w:p>
    <w:p w:rsidR="001B32C2" w:rsidRDefault="00000000">
      <w:pPr>
        <w:pStyle w:val="ListParagraph"/>
        <w:numPr>
          <w:ilvl w:val="0"/>
          <w:numId w:val="2"/>
        </w:numPr>
        <w:spacing w:after="50"/>
      </w:pPr>
      <w:r>
        <w:t>External report — student or community member reports suspicious activity.</w:t>
      </w:r>
    </w:p>
    <w:p w:rsidR="001B32C2" w:rsidRDefault="001B32C2">
      <w:pPr>
        <w:spacing w:after="120"/>
      </w:pPr>
    </w:p>
    <w:p w:rsidR="001B32C2" w:rsidRDefault="00000000">
      <w:pPr>
        <w:pStyle w:val="Heading2"/>
      </w:pPr>
      <w:r>
        <w:t>2b. Initial Triage</w:t>
      </w:r>
    </w:p>
    <w:p w:rsidR="001B32C2" w:rsidRDefault="00000000">
      <w:pPr>
        <w:spacing w:after="80"/>
      </w:pPr>
      <w:r>
        <w:rPr>
          <w:color w:val="000000"/>
        </w:rPr>
        <w:t>When a potential incident is identified, the Lead Analyst performs the following triage steps before escalating:</w:t>
      </w:r>
    </w:p>
    <w:p w:rsidR="001B32C2" w:rsidRDefault="00000000">
      <w:pPr>
        <w:pStyle w:val="ListParagraph"/>
        <w:numPr>
          <w:ilvl w:val="0"/>
          <w:numId w:val="2"/>
        </w:numPr>
        <w:spacing w:after="50"/>
      </w:pPr>
      <w:r>
        <w:t>Confirm the alert is not a known false positive or a planned training exercise.</w:t>
      </w:r>
    </w:p>
    <w:p w:rsidR="001B32C2" w:rsidRDefault="00000000">
      <w:pPr>
        <w:pStyle w:val="ListParagraph"/>
        <w:numPr>
          <w:ilvl w:val="0"/>
          <w:numId w:val="2"/>
        </w:numPr>
        <w:spacing w:after="50"/>
      </w:pPr>
      <w:r>
        <w:t>Identify the affected asset(s): admin account, company VM, student accounts, or Azure management plane.</w:t>
      </w:r>
    </w:p>
    <w:p w:rsidR="001B32C2" w:rsidRDefault="00000000">
      <w:pPr>
        <w:pStyle w:val="ListParagraph"/>
        <w:numPr>
          <w:ilvl w:val="0"/>
          <w:numId w:val="2"/>
        </w:numPr>
        <w:spacing w:after="50"/>
      </w:pPr>
      <w:r>
        <w:t>Determine whether the activity is ongoing or historical.</w:t>
      </w:r>
    </w:p>
    <w:p w:rsidR="001B32C2" w:rsidRDefault="00000000">
      <w:pPr>
        <w:pStyle w:val="ListParagraph"/>
        <w:numPr>
          <w:ilvl w:val="0"/>
          <w:numId w:val="2"/>
        </w:numPr>
        <w:spacing w:after="50"/>
      </w:pPr>
      <w:r>
        <w:t>Classify the severity using the table in Section 2.2.</w:t>
      </w:r>
    </w:p>
    <w:p w:rsidR="001B32C2" w:rsidRDefault="00000000">
      <w:pPr>
        <w:pStyle w:val="ListParagraph"/>
        <w:numPr>
          <w:ilvl w:val="0"/>
          <w:numId w:val="2"/>
        </w:numPr>
        <w:spacing w:after="50"/>
      </w:pPr>
      <w:r>
        <w:t>Notify the Incident Commander immediately for Medium severity and above.</w:t>
      </w:r>
    </w:p>
    <w:p w:rsidR="001B32C2" w:rsidRDefault="001B32C2">
      <w:pPr>
        <w:spacing w:after="120"/>
      </w:pPr>
    </w:p>
    <w:p w:rsidR="001B32C2" w:rsidRDefault="00000000">
      <w:pPr>
        <w:pStyle w:val="Heading2"/>
      </w:pPr>
      <w:r>
        <w:t>2c. Investigation</w:t>
      </w:r>
    </w:p>
    <w:p w:rsidR="001B32C2" w:rsidRDefault="00000000">
      <w:pPr>
        <w:spacing w:after="80"/>
      </w:pPr>
      <w:r>
        <w:rPr>
          <w:color w:val="000000"/>
        </w:rPr>
        <w:t>Use the following tools and techniques to investigate:</w:t>
      </w:r>
    </w:p>
    <w:p w:rsidR="001B32C2" w:rsidRDefault="00000000">
      <w:pPr>
        <w:pStyle w:val="ListParagraph"/>
        <w:numPr>
          <w:ilvl w:val="0"/>
          <w:numId w:val="2"/>
        </w:numPr>
        <w:spacing w:after="50"/>
      </w:pPr>
      <w:r>
        <w:t>KQL queries in Microsoft Sentinel — review sign-in logs, activity logs, and alert timelines.</w:t>
      </w:r>
    </w:p>
    <w:p w:rsidR="001B32C2" w:rsidRDefault="00000000">
      <w:pPr>
        <w:pStyle w:val="ListParagraph"/>
        <w:numPr>
          <w:ilvl w:val="0"/>
          <w:numId w:val="2"/>
        </w:numPr>
        <w:spacing w:after="50"/>
      </w:pPr>
      <w:r>
        <w:t>Defender for Endpoint — review device timeline, process tree, and network connections.</w:t>
      </w:r>
    </w:p>
    <w:p w:rsidR="001B32C2" w:rsidRDefault="00000000">
      <w:pPr>
        <w:pStyle w:val="ListParagraph"/>
        <w:numPr>
          <w:ilvl w:val="0"/>
          <w:numId w:val="2"/>
        </w:numPr>
        <w:spacing w:after="50"/>
      </w:pPr>
      <w:r>
        <w:t>Entra ID — review audit logs for role assignments, MFA changes, and app registrations.</w:t>
      </w:r>
    </w:p>
    <w:p w:rsidR="001B32C2" w:rsidRDefault="00000000">
      <w:pPr>
        <w:pStyle w:val="ListParagraph"/>
        <w:numPr>
          <w:ilvl w:val="0"/>
          <w:numId w:val="2"/>
        </w:numPr>
        <w:spacing w:after="50"/>
      </w:pPr>
      <w:r>
        <w:t>Azure Activity Log — review management plane actions for unauthorized resource changes.</w:t>
      </w:r>
    </w:p>
    <w:p w:rsidR="001B32C2" w:rsidRDefault="001B32C2">
      <w:pPr>
        <w:spacing w:after="120"/>
      </w:pPr>
    </w:p>
    <w:p w:rsidR="001B32C2" w:rsidRDefault="00000000">
      <w:pPr>
        <w:spacing w:after="80"/>
      </w:pPr>
      <w:r>
        <w:rPr>
          <w:color w:val="000000"/>
        </w:rPr>
        <w:t>Document all investigation findings in the Incident Log (Section 7) in real time. Do not rely on memory.</w:t>
      </w:r>
    </w:p>
    <w:p w:rsidR="001B32C2" w:rsidRDefault="001B32C2">
      <w:pPr>
        <w:spacing w:after="120"/>
      </w:pPr>
    </w:p>
    <w:p w:rsidR="001B32C2" w:rsidRDefault="00000000">
      <w:pPr>
        <w:pStyle w:val="Heading2"/>
      </w:pPr>
      <w:r>
        <w:t>Phase 3 — Containment, Eradication, and Recovery</w:t>
      </w:r>
    </w:p>
    <w:p w:rsidR="001B32C2" w:rsidRDefault="00000000">
      <w:pPr>
        <w:pStyle w:val="Heading2"/>
      </w:pPr>
      <w:r>
        <w:t>3a. Containment</w:t>
      </w:r>
    </w:p>
    <w:p w:rsidR="001B32C2" w:rsidRDefault="00000000">
      <w:pPr>
        <w:spacing w:after="80"/>
      </w:pPr>
      <w:r>
        <w:rPr>
          <w:color w:val="000000"/>
        </w:rPr>
        <w:t>Containment actions depend on severity. Apply the most targeted action that stops the threat without unnecessarily disrupting the platform.</w:t>
      </w:r>
    </w:p>
    <w:p w:rsidR="001B32C2" w:rsidRDefault="001B32C2">
      <w:pPr>
        <w:spacing w:after="120"/>
      </w:pP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200"/>
      </w:tblGrid>
      <w:tr w:rsidR="001B32C2">
        <w:tblPrEx>
          <w:tblCellMar>
            <w:top w:w="0" w:type="dxa"/>
            <w:bottom w:w="0" w:type="dxa"/>
          </w:tblCellMar>
        </w:tblPrEx>
        <w:trPr>
          <w:tblHeader/>
        </w:trPr>
        <w:tc>
          <w:tcPr>
            <w:tcW w:w="2000" w:type="dxa"/>
            <w:shd w:val="clear" w:color="auto" w:fill="1F2937"/>
            <w:tcMar>
              <w:top w:w="60" w:type="dxa"/>
              <w:left w:w="80" w:type="dxa"/>
              <w:bottom w:w="60" w:type="dxa"/>
              <w:right w:w="80" w:type="dxa"/>
            </w:tcMar>
            <w:vAlign w:val="center"/>
          </w:tcPr>
          <w:p w:rsidR="001B32C2" w:rsidRDefault="00000000">
            <w:r>
              <w:rPr>
                <w:b/>
                <w:bCs/>
                <w:color w:val="FFFFFF"/>
                <w:sz w:val="18"/>
                <w:szCs w:val="18"/>
              </w:rPr>
              <w:t>Severity</w:t>
            </w:r>
          </w:p>
        </w:tc>
        <w:tc>
          <w:tcPr>
            <w:tcW w:w="8200" w:type="dxa"/>
            <w:shd w:val="clear" w:color="auto" w:fill="1F2937"/>
            <w:tcMar>
              <w:top w:w="60" w:type="dxa"/>
              <w:left w:w="80" w:type="dxa"/>
              <w:bottom w:w="60" w:type="dxa"/>
              <w:right w:w="80" w:type="dxa"/>
            </w:tcMar>
            <w:vAlign w:val="center"/>
          </w:tcPr>
          <w:p w:rsidR="001B32C2" w:rsidRDefault="00000000">
            <w:r>
              <w:rPr>
                <w:b/>
                <w:bCs/>
                <w:color w:val="FFFFFF"/>
                <w:sz w:val="18"/>
                <w:szCs w:val="18"/>
              </w:rPr>
              <w:t>Containment Actions</w:t>
            </w:r>
          </w:p>
        </w:tc>
      </w:tr>
      <w:tr w:rsidR="001B32C2">
        <w:tblPrEx>
          <w:tblCellMar>
            <w:top w:w="0" w:type="dxa"/>
            <w:bottom w:w="0" w:type="dxa"/>
          </w:tblCellMar>
        </w:tblPrEx>
        <w:tc>
          <w:tcPr>
            <w:tcW w:w="2000" w:type="dxa"/>
            <w:shd w:val="clear" w:color="auto" w:fill="C00000"/>
            <w:tcMar>
              <w:top w:w="60" w:type="dxa"/>
              <w:left w:w="80" w:type="dxa"/>
              <w:bottom w:w="60" w:type="dxa"/>
              <w:right w:w="80" w:type="dxa"/>
            </w:tcMar>
            <w:vAlign w:val="center"/>
          </w:tcPr>
          <w:p w:rsidR="001B32C2" w:rsidRDefault="00000000">
            <w:r>
              <w:rPr>
                <w:b/>
                <w:bCs/>
                <w:color w:val="FFFFFF"/>
                <w:sz w:val="18"/>
                <w:szCs w:val="18"/>
              </w:rPr>
              <w:t>Critical</w:t>
            </w:r>
          </w:p>
        </w:tc>
        <w:tc>
          <w:tcPr>
            <w:tcW w:w="8200" w:type="dxa"/>
            <w:tcMar>
              <w:top w:w="60" w:type="dxa"/>
              <w:left w:w="80" w:type="dxa"/>
              <w:bottom w:w="60" w:type="dxa"/>
              <w:right w:w="80" w:type="dxa"/>
            </w:tcMar>
            <w:vAlign w:val="center"/>
          </w:tcPr>
          <w:p w:rsidR="001B32C2" w:rsidRDefault="00000000">
            <w:r>
              <w:rPr>
                <w:color w:val="000000"/>
                <w:sz w:val="18"/>
                <w:szCs w:val="18"/>
              </w:rPr>
              <w:t>Immediately disable the compromised account in Entra ID. Revoke all active sessions. Isolate affected VMs using Defender for Endpoint. Contact Josh Madakor regardless of time.</w:t>
            </w:r>
          </w:p>
        </w:tc>
      </w:tr>
      <w:tr w:rsidR="001B32C2">
        <w:tblPrEx>
          <w:tblCellMar>
            <w:top w:w="0" w:type="dxa"/>
            <w:bottom w:w="0" w:type="dxa"/>
          </w:tblCellMar>
        </w:tblPrEx>
        <w:tc>
          <w:tcPr>
            <w:tcW w:w="2000" w:type="dxa"/>
            <w:shd w:val="clear" w:color="auto" w:fill="E26B0A"/>
            <w:tcMar>
              <w:top w:w="60" w:type="dxa"/>
              <w:left w:w="80" w:type="dxa"/>
              <w:bottom w:w="60" w:type="dxa"/>
              <w:right w:w="80" w:type="dxa"/>
            </w:tcMar>
            <w:vAlign w:val="center"/>
          </w:tcPr>
          <w:p w:rsidR="001B32C2" w:rsidRDefault="00000000">
            <w:r>
              <w:rPr>
                <w:b/>
                <w:bCs/>
                <w:color w:val="FFFFFF"/>
                <w:sz w:val="18"/>
                <w:szCs w:val="18"/>
              </w:rPr>
              <w:lastRenderedPageBreak/>
              <w:t>High</w:t>
            </w:r>
          </w:p>
        </w:tc>
        <w:tc>
          <w:tcPr>
            <w:tcW w:w="8200" w:type="dxa"/>
            <w:tcMar>
              <w:top w:w="60" w:type="dxa"/>
              <w:left w:w="80" w:type="dxa"/>
              <w:bottom w:w="60" w:type="dxa"/>
              <w:right w:w="80" w:type="dxa"/>
            </w:tcMar>
            <w:vAlign w:val="center"/>
          </w:tcPr>
          <w:p w:rsidR="001B32C2" w:rsidRPr="00141BA3" w:rsidRDefault="00000000">
            <w:pPr>
              <w:rPr>
                <w:lang w:val="en-US"/>
              </w:rPr>
            </w:pPr>
            <w:r>
              <w:rPr>
                <w:color w:val="000000"/>
                <w:sz w:val="18"/>
                <w:szCs w:val="18"/>
              </w:rPr>
              <w:t xml:space="preserve">Disable or restrict the suspicious account. Force MFA re-registration if credentials may be compromised. Isolate affected VM if malware is confirmed. Notify Incident Commander </w:t>
            </w:r>
            <w:r w:rsidR="00141BA3">
              <w:rPr>
                <w:color w:val="000000"/>
                <w:sz w:val="18"/>
                <w:szCs w:val="18"/>
              </w:rPr>
              <w:t>within 4 hours</w:t>
            </w:r>
            <w:r w:rsidR="00A429CD">
              <w:rPr>
                <w:color w:val="000000"/>
                <w:sz w:val="18"/>
                <w:szCs w:val="18"/>
                <w:lang w:val="en-US"/>
              </w:rPr>
              <w:t xml:space="preserve"> </w:t>
            </w:r>
            <w:bookmarkStart w:id="0" w:name="OLE_LINK8"/>
            <w:bookmarkStart w:id="1" w:name="OLE_LINK9"/>
            <w:r w:rsidR="00A429CD">
              <w:rPr>
                <w:color w:val="000000"/>
                <w:sz w:val="18"/>
                <w:szCs w:val="18"/>
                <w:lang w:val="en-US"/>
              </w:rPr>
              <w:t>of detection</w:t>
            </w:r>
            <w:bookmarkEnd w:id="0"/>
            <w:bookmarkEnd w:id="1"/>
            <w:r w:rsidR="00141BA3">
              <w:rPr>
                <w:color w:val="000000"/>
                <w:sz w:val="18"/>
                <w:szCs w:val="18"/>
              </w:rPr>
              <w:t>.</w:t>
            </w:r>
          </w:p>
        </w:tc>
      </w:tr>
      <w:tr w:rsidR="001B32C2">
        <w:tblPrEx>
          <w:tblCellMar>
            <w:top w:w="0" w:type="dxa"/>
            <w:bottom w:w="0" w:type="dxa"/>
          </w:tblCellMar>
        </w:tblPrEx>
        <w:tc>
          <w:tcPr>
            <w:tcW w:w="2000" w:type="dxa"/>
            <w:shd w:val="clear" w:color="auto" w:fill="FFC000"/>
            <w:tcMar>
              <w:top w:w="60" w:type="dxa"/>
              <w:left w:w="80" w:type="dxa"/>
              <w:bottom w:w="60" w:type="dxa"/>
              <w:right w:w="80" w:type="dxa"/>
            </w:tcMar>
            <w:vAlign w:val="center"/>
          </w:tcPr>
          <w:p w:rsidR="001B32C2" w:rsidRDefault="00000000">
            <w:r>
              <w:rPr>
                <w:b/>
                <w:bCs/>
                <w:color w:val="000000"/>
                <w:sz w:val="18"/>
                <w:szCs w:val="18"/>
              </w:rPr>
              <w:t>Medium</w:t>
            </w:r>
          </w:p>
        </w:tc>
        <w:tc>
          <w:tcPr>
            <w:tcW w:w="8200" w:type="dxa"/>
            <w:tcMar>
              <w:top w:w="60" w:type="dxa"/>
              <w:left w:w="80" w:type="dxa"/>
              <w:bottom w:w="60" w:type="dxa"/>
              <w:right w:w="80" w:type="dxa"/>
            </w:tcMar>
            <w:vAlign w:val="center"/>
          </w:tcPr>
          <w:p w:rsidR="001B32C2" w:rsidRDefault="00000000">
            <w:r>
              <w:rPr>
                <w:color w:val="000000"/>
                <w:sz w:val="18"/>
                <w:szCs w:val="18"/>
              </w:rPr>
              <w:t xml:space="preserve">Monitor closely for escalation. Block suspicious IP if identified. Reset credentials if account compromise is suspected. Notify Incident Commander within </w:t>
            </w:r>
            <w:r w:rsidR="00141BA3">
              <w:rPr>
                <w:color w:val="000000"/>
                <w:sz w:val="18"/>
                <w:szCs w:val="18"/>
                <w:lang w:val="en-US"/>
              </w:rPr>
              <w:t>2</w:t>
            </w:r>
            <w:r>
              <w:rPr>
                <w:color w:val="000000"/>
                <w:sz w:val="18"/>
                <w:szCs w:val="18"/>
              </w:rPr>
              <w:t>4 hours</w:t>
            </w:r>
            <w:r w:rsidR="00A429CD">
              <w:rPr>
                <w:color w:val="000000"/>
                <w:sz w:val="18"/>
                <w:szCs w:val="18"/>
                <w:lang w:val="en-US"/>
              </w:rPr>
              <w:t xml:space="preserve"> </w:t>
            </w:r>
            <w:r w:rsidR="00A429CD">
              <w:rPr>
                <w:color w:val="000000"/>
                <w:sz w:val="18"/>
                <w:szCs w:val="18"/>
                <w:lang w:val="en-US"/>
              </w:rPr>
              <w:t>of detection</w:t>
            </w:r>
            <w:r>
              <w:rPr>
                <w:color w:val="000000"/>
                <w:sz w:val="18"/>
                <w:szCs w:val="18"/>
              </w:rPr>
              <w:t>.</w:t>
            </w:r>
          </w:p>
        </w:tc>
      </w:tr>
      <w:tr w:rsidR="001B32C2">
        <w:tblPrEx>
          <w:tblCellMar>
            <w:top w:w="0" w:type="dxa"/>
            <w:bottom w:w="0" w:type="dxa"/>
          </w:tblCellMar>
        </w:tblPrEx>
        <w:tc>
          <w:tcPr>
            <w:tcW w:w="2000" w:type="dxa"/>
            <w:shd w:val="clear" w:color="auto" w:fill="92D050"/>
            <w:tcMar>
              <w:top w:w="60" w:type="dxa"/>
              <w:left w:w="80" w:type="dxa"/>
              <w:bottom w:w="60" w:type="dxa"/>
              <w:right w:w="80" w:type="dxa"/>
            </w:tcMar>
            <w:vAlign w:val="center"/>
          </w:tcPr>
          <w:p w:rsidR="001B32C2" w:rsidRDefault="00000000">
            <w:r>
              <w:rPr>
                <w:b/>
                <w:bCs/>
                <w:color w:val="000000"/>
                <w:sz w:val="18"/>
                <w:szCs w:val="18"/>
              </w:rPr>
              <w:t>Low</w:t>
            </w:r>
          </w:p>
        </w:tc>
        <w:tc>
          <w:tcPr>
            <w:tcW w:w="8200" w:type="dxa"/>
            <w:tcMar>
              <w:top w:w="60" w:type="dxa"/>
              <w:left w:w="80" w:type="dxa"/>
              <w:bottom w:w="60" w:type="dxa"/>
              <w:right w:w="80" w:type="dxa"/>
            </w:tcMar>
            <w:vAlign w:val="center"/>
          </w:tcPr>
          <w:p w:rsidR="001B32C2" w:rsidRDefault="00000000">
            <w:r>
              <w:rPr>
                <w:color w:val="000000"/>
                <w:sz w:val="18"/>
                <w:szCs w:val="18"/>
              </w:rPr>
              <w:t>Document the event. Monitor for recurrence. No immediate containment action required unless the event escalates.</w:t>
            </w:r>
          </w:p>
        </w:tc>
      </w:tr>
    </w:tbl>
    <w:p w:rsidR="001B32C2" w:rsidRDefault="001B32C2">
      <w:pPr>
        <w:spacing w:after="120"/>
      </w:pPr>
    </w:p>
    <w:p w:rsidR="001B32C2" w:rsidRDefault="00000000">
      <w:pPr>
        <w:pStyle w:val="Heading2"/>
      </w:pPr>
      <w:r>
        <w:t>3b. Eradication</w:t>
      </w:r>
    </w:p>
    <w:p w:rsidR="001B32C2" w:rsidRDefault="00000000">
      <w:pPr>
        <w:spacing w:after="80"/>
      </w:pPr>
      <w:r>
        <w:rPr>
          <w:color w:val="000000"/>
        </w:rPr>
        <w:t>After containment, remove the root cause of the incident:</w:t>
      </w:r>
    </w:p>
    <w:p w:rsidR="001B32C2" w:rsidRDefault="00000000">
      <w:pPr>
        <w:pStyle w:val="ListParagraph"/>
        <w:numPr>
          <w:ilvl w:val="0"/>
          <w:numId w:val="2"/>
        </w:numPr>
        <w:spacing w:after="50"/>
      </w:pPr>
      <w:r>
        <w:t>Remove any unauthorized accounts, app registrations, or role assignments created by the attacker.</w:t>
      </w:r>
    </w:p>
    <w:p w:rsidR="001B32C2" w:rsidRDefault="00000000">
      <w:pPr>
        <w:pStyle w:val="ListParagraph"/>
        <w:numPr>
          <w:ilvl w:val="0"/>
          <w:numId w:val="2"/>
        </w:numPr>
        <w:spacing w:after="50"/>
      </w:pPr>
      <w:r>
        <w:t>Re-image affected VMs</w:t>
      </w:r>
      <w:r w:rsidR="00141BA3">
        <w:rPr>
          <w:lang w:val="en-US"/>
        </w:rPr>
        <w:t>.</w:t>
      </w:r>
    </w:p>
    <w:p w:rsidR="001B32C2" w:rsidRDefault="00000000">
      <w:pPr>
        <w:pStyle w:val="ListParagraph"/>
        <w:numPr>
          <w:ilvl w:val="0"/>
          <w:numId w:val="2"/>
        </w:numPr>
        <w:spacing w:after="50"/>
      </w:pPr>
      <w:r>
        <w:t>Remove any persistence mechanisms identified during investigation (scheduled tasks, forwarding rules, OAuth grants).</w:t>
      </w:r>
    </w:p>
    <w:p w:rsidR="001B32C2" w:rsidRDefault="00000000">
      <w:pPr>
        <w:pStyle w:val="ListParagraph"/>
        <w:numPr>
          <w:ilvl w:val="0"/>
          <w:numId w:val="2"/>
        </w:numPr>
        <w:spacing w:after="50"/>
      </w:pPr>
      <w:r>
        <w:t>Reset credentials for all accounts that may have been exposed.</w:t>
      </w:r>
    </w:p>
    <w:p w:rsidR="001B32C2" w:rsidRDefault="00000000">
      <w:pPr>
        <w:pStyle w:val="ListParagraph"/>
        <w:numPr>
          <w:ilvl w:val="0"/>
          <w:numId w:val="2"/>
        </w:numPr>
        <w:spacing w:after="50"/>
      </w:pPr>
      <w:r>
        <w:t>Confirm eradication by re-scanning affected assets with Tenable and reviewing Defender telemetry.</w:t>
      </w:r>
    </w:p>
    <w:p w:rsidR="001B32C2" w:rsidRDefault="001B32C2">
      <w:pPr>
        <w:spacing w:after="120"/>
      </w:pPr>
    </w:p>
    <w:p w:rsidR="001B32C2" w:rsidRDefault="00000000">
      <w:pPr>
        <w:pStyle w:val="Heading2"/>
      </w:pPr>
      <w:r>
        <w:t>3c. Recovery</w:t>
      </w:r>
    </w:p>
    <w:p w:rsidR="001B32C2" w:rsidRDefault="00000000">
      <w:pPr>
        <w:spacing w:after="80"/>
      </w:pPr>
      <w:r>
        <w:rPr>
          <w:color w:val="000000"/>
        </w:rPr>
        <w:t>Restore normal operations in the following order:</w:t>
      </w:r>
    </w:p>
    <w:p w:rsidR="001B32C2" w:rsidRDefault="00000000">
      <w:pPr>
        <w:pStyle w:val="ListParagraph"/>
        <w:numPr>
          <w:ilvl w:val="0"/>
          <w:numId w:val="2"/>
        </w:numPr>
        <w:spacing w:after="50"/>
      </w:pPr>
      <w:r>
        <w:t>Identity and access — restore Entra ID to a known-good state. Confirm all admin accounts are using company-managed identities with MFA.</w:t>
      </w:r>
    </w:p>
    <w:p w:rsidR="001B32C2" w:rsidRDefault="00000000">
      <w:pPr>
        <w:pStyle w:val="ListParagraph"/>
        <w:numPr>
          <w:ilvl w:val="0"/>
          <w:numId w:val="2"/>
        </w:numPr>
        <w:spacing w:after="50"/>
      </w:pPr>
      <w:r>
        <w:t>Detection and visibility — confirm Sentinel, Defender, and UEBA are active and generating alerts normally.</w:t>
      </w:r>
    </w:p>
    <w:p w:rsidR="001B32C2" w:rsidRDefault="00000000">
      <w:pPr>
        <w:pStyle w:val="ListParagraph"/>
        <w:numPr>
          <w:ilvl w:val="0"/>
          <w:numId w:val="2"/>
        </w:numPr>
        <w:spacing w:after="50"/>
      </w:pPr>
      <w:r>
        <w:t>Company VMs — restore from backup or re-image as needed. Confirm clean Tenable scan before returning to service.</w:t>
      </w:r>
    </w:p>
    <w:p w:rsidR="001B32C2" w:rsidRDefault="00000000">
      <w:pPr>
        <w:pStyle w:val="ListParagraph"/>
        <w:numPr>
          <w:ilvl w:val="0"/>
          <w:numId w:val="2"/>
        </w:numPr>
        <w:spacing w:after="50"/>
      </w:pPr>
      <w:r>
        <w:t>Student infrastructure — restore Cyber Range labs. Activate warm standby environment if primary is unavailable.</w:t>
      </w:r>
    </w:p>
    <w:p w:rsidR="001B32C2" w:rsidRDefault="00000000">
      <w:pPr>
        <w:pStyle w:val="ListParagraph"/>
        <w:numPr>
          <w:ilvl w:val="0"/>
          <w:numId w:val="2"/>
        </w:numPr>
        <w:spacing w:after="50"/>
      </w:pPr>
      <w:r>
        <w:t>Communications — notify affected students and the community once recovery is confirmed (see Section 5).</w:t>
      </w:r>
    </w:p>
    <w:p w:rsidR="001B32C2" w:rsidRDefault="001B32C2">
      <w:pPr>
        <w:spacing w:after="120"/>
      </w:pPr>
    </w:p>
    <w:p w:rsidR="001B32C2" w:rsidRDefault="00000000">
      <w:pPr>
        <w:pStyle w:val="Heading1"/>
        <w:pBdr>
          <w:bottom w:val="single" w:sz="8" w:space="0" w:color="1F2937"/>
        </w:pBdr>
      </w:pPr>
      <w:r>
        <w:t>5. EXTERNAL COMMUNICATIONS</w:t>
      </w:r>
    </w:p>
    <w:p w:rsidR="001B32C2" w:rsidRDefault="00000000">
      <w:pPr>
        <w:spacing w:after="80"/>
      </w:pPr>
      <w:r>
        <w:rPr>
          <w:color w:val="000000"/>
        </w:rPr>
        <w:t>All external communications during an incident are the responsibility of the Communications Lead (Josh Madakor). No admin team member should communicate externally about an active incident without Josh's approval.</w:t>
      </w:r>
    </w:p>
    <w:p w:rsidR="001B32C2" w:rsidRDefault="001B32C2">
      <w:pPr>
        <w:spacing w:after="120"/>
      </w:pPr>
    </w:p>
    <w:p w:rsidR="001B32C2" w:rsidRDefault="00000000">
      <w:pPr>
        <w:pStyle w:val="Heading2"/>
      </w:pPr>
      <w:r>
        <w:t>5.1 When to Notify</w:t>
      </w:r>
    </w:p>
    <w:p w:rsidR="001B32C2" w:rsidRDefault="00000000">
      <w:pPr>
        <w:pStyle w:val="ListParagraph"/>
        <w:numPr>
          <w:ilvl w:val="0"/>
          <w:numId w:val="2"/>
        </w:numPr>
        <w:spacing w:after="50"/>
      </w:pPr>
      <w:r>
        <w:t>Notify affected students directly if their account credentials, personal information, or training data may have been accessed or exposed.</w:t>
      </w:r>
    </w:p>
    <w:p w:rsidR="001B32C2" w:rsidRDefault="00000000">
      <w:pPr>
        <w:pStyle w:val="ListParagraph"/>
        <w:numPr>
          <w:ilvl w:val="0"/>
          <w:numId w:val="2"/>
        </w:numPr>
        <w:spacing w:after="50"/>
      </w:pPr>
      <w:r>
        <w:t>Post a community update to the Skool platform if the Cyber Range is unavailable for more than 2 hours due to a security event.</w:t>
      </w:r>
    </w:p>
    <w:p w:rsidR="001B32C2" w:rsidRDefault="00000000">
      <w:pPr>
        <w:pStyle w:val="ListParagraph"/>
        <w:numPr>
          <w:ilvl w:val="0"/>
          <w:numId w:val="2"/>
        </w:numPr>
        <w:spacing w:after="50"/>
      </w:pPr>
      <w:r>
        <w:t>Post a community update regardless of duration if a security incident is confirmed to have affected student accounts.</w:t>
      </w:r>
    </w:p>
    <w:p w:rsidR="001B32C2" w:rsidRDefault="001B32C2">
      <w:pPr>
        <w:spacing w:after="120"/>
      </w:pPr>
    </w:p>
    <w:p w:rsidR="001B32C2" w:rsidRDefault="00000000">
      <w:pPr>
        <w:pStyle w:val="Heading2"/>
      </w:pPr>
      <w:r>
        <w:t>5.2 What to Include</w:t>
      </w:r>
    </w:p>
    <w:p w:rsidR="001B32C2" w:rsidRDefault="00000000">
      <w:pPr>
        <w:pStyle w:val="ListParagraph"/>
        <w:numPr>
          <w:ilvl w:val="0"/>
          <w:numId w:val="2"/>
        </w:numPr>
        <w:spacing w:after="50"/>
      </w:pPr>
      <w:r>
        <w:t>What happened — a plain-language description of the incident without technical detail that could aid attackers.</w:t>
      </w:r>
    </w:p>
    <w:p w:rsidR="001B32C2" w:rsidRDefault="00000000">
      <w:pPr>
        <w:pStyle w:val="ListParagraph"/>
        <w:numPr>
          <w:ilvl w:val="0"/>
          <w:numId w:val="2"/>
        </w:numPr>
        <w:spacing w:after="50"/>
      </w:pPr>
      <w:r>
        <w:t>What data or accounts may have been affected — be specific about scope, do not overstate.</w:t>
      </w:r>
    </w:p>
    <w:p w:rsidR="001B32C2" w:rsidRDefault="00000000">
      <w:pPr>
        <w:pStyle w:val="ListParagraph"/>
        <w:numPr>
          <w:ilvl w:val="0"/>
          <w:numId w:val="2"/>
        </w:numPr>
        <w:spacing w:after="50"/>
      </w:pPr>
      <w:r>
        <w:t>What Log(N) Pacific has done — containment and remediation steps taken.</w:t>
      </w:r>
    </w:p>
    <w:p w:rsidR="001B32C2" w:rsidRDefault="00000000">
      <w:pPr>
        <w:pStyle w:val="ListParagraph"/>
        <w:numPr>
          <w:ilvl w:val="0"/>
          <w:numId w:val="2"/>
        </w:numPr>
        <w:spacing w:after="50"/>
      </w:pPr>
      <w:r>
        <w:t>What affected individuals should do — for example, reset passwords, review account activity.</w:t>
      </w:r>
    </w:p>
    <w:p w:rsidR="00141BA3" w:rsidRDefault="00141BA3">
      <w:pPr>
        <w:pStyle w:val="ListParagraph"/>
        <w:numPr>
          <w:ilvl w:val="0"/>
          <w:numId w:val="2"/>
        </w:numPr>
        <w:spacing w:after="50"/>
      </w:pPr>
      <w:r>
        <w:t>A point of contact for questions — students may reply directly to the community post on Skool, or message an admin directly for sensitive or personal questions about the incident.</w:t>
      </w:r>
    </w:p>
    <w:p w:rsidR="001B32C2" w:rsidRDefault="001B32C2">
      <w:pPr>
        <w:spacing w:after="120"/>
      </w:pPr>
    </w:p>
    <w:p w:rsidR="001B32C2" w:rsidRDefault="00000000">
      <w:pPr>
        <w:pStyle w:val="Heading2"/>
      </w:pPr>
      <w:r>
        <w:lastRenderedPageBreak/>
        <w:t>5.3 What NOT to Include</w:t>
      </w:r>
    </w:p>
    <w:p w:rsidR="001B32C2" w:rsidRDefault="00000000">
      <w:pPr>
        <w:pStyle w:val="ListParagraph"/>
        <w:numPr>
          <w:ilvl w:val="0"/>
          <w:numId w:val="2"/>
        </w:numPr>
        <w:spacing w:after="50"/>
      </w:pPr>
      <w:r>
        <w:t>The name or identity of the attacker unless confirmed by law enforcement.</w:t>
      </w:r>
    </w:p>
    <w:p w:rsidR="001B32C2" w:rsidRDefault="00000000">
      <w:pPr>
        <w:pStyle w:val="ListParagraph"/>
        <w:numPr>
          <w:ilvl w:val="0"/>
          <w:numId w:val="2"/>
        </w:numPr>
        <w:spacing w:after="50"/>
      </w:pPr>
      <w:r>
        <w:t>Technical details of vulnerabilities or attack vectors that have not yet been fully remediated.</w:t>
      </w:r>
    </w:p>
    <w:p w:rsidR="001B32C2" w:rsidRDefault="00000000">
      <w:pPr>
        <w:pStyle w:val="ListParagraph"/>
        <w:numPr>
          <w:ilvl w:val="0"/>
          <w:numId w:val="2"/>
        </w:numPr>
        <w:spacing w:after="50"/>
      </w:pPr>
      <w:r>
        <w:t>Speculation about motive or attribution.</w:t>
      </w:r>
    </w:p>
    <w:p w:rsidR="001B32C2" w:rsidRDefault="001B32C2">
      <w:pPr>
        <w:spacing w:after="120"/>
      </w:pPr>
    </w:p>
    <w:p w:rsidR="001B32C2" w:rsidRDefault="00000000">
      <w:pPr>
        <w:pStyle w:val="Heading1"/>
        <w:pBdr>
          <w:bottom w:val="single" w:sz="8" w:space="0" w:color="1F2937"/>
        </w:pBdr>
      </w:pPr>
      <w:r>
        <w:t>6. INCIDENT CLOSURE CRITERIA</w:t>
      </w:r>
    </w:p>
    <w:p w:rsidR="001B32C2" w:rsidRDefault="00000000">
      <w:pPr>
        <w:spacing w:after="80"/>
      </w:pPr>
      <w:r>
        <w:rPr>
          <w:color w:val="000000"/>
        </w:rPr>
        <w:t>An incident may be closed only when ALL of the following conditions are met:</w:t>
      </w:r>
    </w:p>
    <w:p w:rsidR="001B32C2" w:rsidRDefault="00000000">
      <w:pPr>
        <w:pStyle w:val="ListParagraph"/>
        <w:numPr>
          <w:ilvl w:val="0"/>
          <w:numId w:val="2"/>
        </w:numPr>
        <w:spacing w:after="50"/>
      </w:pPr>
      <w:r>
        <w:t>The root cause has been identified and documented.</w:t>
      </w:r>
    </w:p>
    <w:p w:rsidR="001B32C2" w:rsidRDefault="00000000">
      <w:pPr>
        <w:pStyle w:val="ListParagraph"/>
        <w:numPr>
          <w:ilvl w:val="0"/>
          <w:numId w:val="2"/>
        </w:numPr>
        <w:spacing w:after="50"/>
      </w:pPr>
      <w:r>
        <w:t>All attacker access, persistence mechanisms, and malicious artifacts have been removed.</w:t>
      </w:r>
    </w:p>
    <w:p w:rsidR="001B32C2" w:rsidRDefault="00000000">
      <w:pPr>
        <w:pStyle w:val="ListParagraph"/>
        <w:numPr>
          <w:ilvl w:val="0"/>
          <w:numId w:val="2"/>
        </w:numPr>
        <w:spacing w:after="50"/>
      </w:pPr>
      <w:r>
        <w:t>Affected systems have been restored and confirmed clean.</w:t>
      </w:r>
    </w:p>
    <w:p w:rsidR="001B32C2" w:rsidRDefault="00000000">
      <w:pPr>
        <w:pStyle w:val="ListParagraph"/>
        <w:numPr>
          <w:ilvl w:val="0"/>
          <w:numId w:val="2"/>
        </w:numPr>
        <w:spacing w:after="50"/>
      </w:pPr>
      <w:r>
        <w:t>All required external notifications have been sent.</w:t>
      </w:r>
    </w:p>
    <w:p w:rsidR="001B32C2" w:rsidRDefault="00000000">
      <w:pPr>
        <w:pStyle w:val="ListParagraph"/>
        <w:numPr>
          <w:ilvl w:val="0"/>
          <w:numId w:val="2"/>
        </w:numPr>
        <w:spacing w:after="50"/>
      </w:pPr>
      <w:r>
        <w:t>The Incident Log has been completed with full timeline, actions taken, and evidence references.</w:t>
      </w:r>
    </w:p>
    <w:p w:rsidR="001B32C2" w:rsidRDefault="00000000">
      <w:pPr>
        <w:pStyle w:val="ListParagraph"/>
        <w:numPr>
          <w:ilvl w:val="0"/>
          <w:numId w:val="2"/>
        </w:numPr>
        <w:spacing w:after="50"/>
      </w:pPr>
      <w:r>
        <w:t>A post-incident review has been scheduled or completed.</w:t>
      </w:r>
    </w:p>
    <w:p w:rsidR="001B32C2" w:rsidRDefault="001B32C2">
      <w:pPr>
        <w:spacing w:after="120"/>
      </w:pPr>
    </w:p>
    <w:p w:rsidR="001B32C2" w:rsidRDefault="00000000">
      <w:pPr>
        <w:spacing w:after="80"/>
      </w:pPr>
      <w:r>
        <w:rPr>
          <w:color w:val="000000"/>
        </w:rPr>
        <w:t>The Incident Commander (Josh Madakor) must formally approve closure. Closure approval should be documented in the Incident Log.</w:t>
      </w:r>
    </w:p>
    <w:p w:rsidR="001B32C2" w:rsidRDefault="001B32C2">
      <w:pPr>
        <w:spacing w:after="120"/>
      </w:pPr>
    </w:p>
    <w:p w:rsidR="001B32C2" w:rsidRDefault="00000000">
      <w:pPr>
        <w:pStyle w:val="Heading1"/>
        <w:pBdr>
          <w:bottom w:val="single" w:sz="8" w:space="0" w:color="1F2937"/>
        </w:pBdr>
      </w:pPr>
      <w:r>
        <w:t>7. POST-INCIDENT REVIEW</w:t>
      </w:r>
    </w:p>
    <w:p w:rsidR="001B32C2" w:rsidRDefault="00000000">
      <w:pPr>
        <w:spacing w:after="80"/>
      </w:pPr>
      <w:r>
        <w:rPr>
          <w:color w:val="000000"/>
        </w:rPr>
        <w:t>A post-incident review must be conducted within 2 weeks of closing any Medium, High, or Critical incident. The review should cover:</w:t>
      </w:r>
    </w:p>
    <w:p w:rsidR="001B32C2" w:rsidRDefault="00000000">
      <w:pPr>
        <w:pStyle w:val="ListParagraph"/>
        <w:numPr>
          <w:ilvl w:val="0"/>
          <w:numId w:val="2"/>
        </w:numPr>
        <w:spacing w:after="50"/>
      </w:pPr>
      <w:r>
        <w:t>Timeline — what happened, when, and in what order.</w:t>
      </w:r>
    </w:p>
    <w:p w:rsidR="001B32C2" w:rsidRDefault="00000000">
      <w:pPr>
        <w:pStyle w:val="ListParagraph"/>
        <w:numPr>
          <w:ilvl w:val="0"/>
          <w:numId w:val="2"/>
        </w:numPr>
        <w:spacing w:after="50"/>
      </w:pPr>
      <w:r>
        <w:t>Detection — how was the incident detected? Was it timely? What would have helped detect it sooner?</w:t>
      </w:r>
    </w:p>
    <w:p w:rsidR="001B32C2" w:rsidRDefault="00000000">
      <w:pPr>
        <w:pStyle w:val="ListParagraph"/>
        <w:numPr>
          <w:ilvl w:val="0"/>
          <w:numId w:val="2"/>
        </w:numPr>
        <w:spacing w:after="50"/>
      </w:pPr>
      <w:r>
        <w:t>Response — did the team follow this plan? What worked? What did not?</w:t>
      </w:r>
    </w:p>
    <w:p w:rsidR="001B32C2" w:rsidRDefault="00000000">
      <w:pPr>
        <w:pStyle w:val="ListParagraph"/>
        <w:numPr>
          <w:ilvl w:val="0"/>
          <w:numId w:val="2"/>
        </w:numPr>
        <w:spacing w:after="50"/>
      </w:pPr>
      <w:r>
        <w:t>Root cause — what was the underlying cause and was it fully addressed?</w:t>
      </w:r>
    </w:p>
    <w:p w:rsidR="001B32C2" w:rsidRDefault="00000000">
      <w:pPr>
        <w:pStyle w:val="ListParagraph"/>
        <w:numPr>
          <w:ilvl w:val="0"/>
          <w:numId w:val="2"/>
        </w:numPr>
        <w:spacing w:after="50"/>
      </w:pPr>
      <w:r>
        <w:t>Lessons learned — what specific changes to controls, procedures, or documentation should result from this incident?</w:t>
      </w:r>
    </w:p>
    <w:p w:rsidR="001B32C2" w:rsidRDefault="00000000">
      <w:pPr>
        <w:pStyle w:val="ListParagraph"/>
        <w:numPr>
          <w:ilvl w:val="0"/>
          <w:numId w:val="2"/>
        </w:numPr>
        <w:spacing w:after="50"/>
      </w:pPr>
      <w:r>
        <w:t>Action items — specific, assigned, and time-bound improvements to prevent recurrence.</w:t>
      </w:r>
    </w:p>
    <w:p w:rsidR="001B32C2" w:rsidRDefault="001B32C2">
      <w:pPr>
        <w:spacing w:after="120"/>
      </w:pPr>
    </w:p>
    <w:p w:rsidR="001B32C2" w:rsidRDefault="00000000">
      <w:pPr>
        <w:spacing w:after="80"/>
      </w:pPr>
      <w:r>
        <w:rPr>
          <w:color w:val="000000"/>
        </w:rPr>
        <w:t>Lessons learned should be fed back into this plan, the risk register, and relevant policy documents. This is the mechanism that turns incidents into security improvements, as demonstrated by the improvements Log(N) Pacific made following the Chinese attacker incident.</w:t>
      </w:r>
    </w:p>
    <w:p w:rsidR="001B32C2" w:rsidRDefault="001B32C2">
      <w:pPr>
        <w:spacing w:after="120"/>
      </w:pPr>
    </w:p>
    <w:p w:rsidR="001B32C2" w:rsidRDefault="00000000">
      <w:pPr>
        <w:pStyle w:val="Heading1"/>
        <w:pBdr>
          <w:bottom w:val="single" w:sz="8" w:space="0" w:color="1F2937"/>
        </w:pBdr>
      </w:pPr>
      <w:r>
        <w:t>8. INCIDENT LOG TEMPLATE</w:t>
      </w:r>
    </w:p>
    <w:p w:rsidR="001B32C2" w:rsidRDefault="00000000">
      <w:pPr>
        <w:spacing w:after="80"/>
      </w:pPr>
      <w:r>
        <w:rPr>
          <w:color w:val="000000"/>
        </w:rPr>
        <w:t>Use this template to document every declared incident. Copy and complete a new log for each incident.</w:t>
      </w:r>
    </w:p>
    <w:p w:rsidR="001B32C2" w:rsidRDefault="001B32C2">
      <w:pPr>
        <w:spacing w:after="120"/>
      </w:pP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200"/>
      </w:tblGrid>
      <w:tr w:rsidR="001B32C2">
        <w:tblPrEx>
          <w:tblCellMar>
            <w:top w:w="0" w:type="dxa"/>
            <w:bottom w:w="0" w:type="dxa"/>
          </w:tblCellMar>
        </w:tblPrEx>
        <w:tc>
          <w:tcPr>
            <w:tcW w:w="3000" w:type="dxa"/>
            <w:shd w:val="clear" w:color="auto" w:fill="1F2937"/>
            <w:tcMar>
              <w:top w:w="60" w:type="dxa"/>
              <w:left w:w="80" w:type="dxa"/>
              <w:bottom w:w="60" w:type="dxa"/>
              <w:right w:w="80" w:type="dxa"/>
            </w:tcMar>
            <w:vAlign w:val="center"/>
          </w:tcPr>
          <w:p w:rsidR="001B32C2" w:rsidRDefault="00000000">
            <w:r>
              <w:rPr>
                <w:b/>
                <w:bCs/>
                <w:color w:val="FFFFFF"/>
                <w:sz w:val="18"/>
                <w:szCs w:val="18"/>
              </w:rPr>
              <w:t>Incident ID</w:t>
            </w:r>
          </w:p>
        </w:tc>
        <w:tc>
          <w:tcPr>
            <w:tcW w:w="7200" w:type="dxa"/>
            <w:tcMar>
              <w:top w:w="60" w:type="dxa"/>
              <w:left w:w="80" w:type="dxa"/>
              <w:bottom w:w="60" w:type="dxa"/>
              <w:right w:w="80" w:type="dxa"/>
            </w:tcMar>
            <w:vAlign w:val="center"/>
          </w:tcPr>
          <w:p w:rsidR="001B32C2" w:rsidRDefault="00000000">
            <w:r>
              <w:rPr>
                <w:color w:val="000000"/>
                <w:sz w:val="18"/>
                <w:szCs w:val="18"/>
              </w:rPr>
              <w:t>INC-[YYYY]-[###]</w:t>
            </w:r>
          </w:p>
        </w:tc>
      </w:tr>
      <w:tr w:rsidR="001B32C2">
        <w:tblPrEx>
          <w:tblCellMar>
            <w:top w:w="0" w:type="dxa"/>
            <w:bottom w:w="0" w:type="dxa"/>
          </w:tblCellMar>
        </w:tblPrEx>
        <w:tc>
          <w:tcPr>
            <w:tcW w:w="3000" w:type="dxa"/>
            <w:shd w:val="clear" w:color="auto" w:fill="F3F4F6"/>
            <w:tcMar>
              <w:top w:w="60" w:type="dxa"/>
              <w:left w:w="80" w:type="dxa"/>
              <w:bottom w:w="60" w:type="dxa"/>
              <w:right w:w="80" w:type="dxa"/>
            </w:tcMar>
            <w:vAlign w:val="center"/>
          </w:tcPr>
          <w:p w:rsidR="001B32C2" w:rsidRDefault="00000000">
            <w:r>
              <w:rPr>
                <w:color w:val="000000"/>
                <w:sz w:val="18"/>
                <w:szCs w:val="18"/>
              </w:rPr>
              <w:t>Date/Time Detected</w:t>
            </w:r>
          </w:p>
        </w:tc>
        <w:tc>
          <w:tcPr>
            <w:tcW w:w="7200" w:type="dxa"/>
            <w:tcMar>
              <w:top w:w="60" w:type="dxa"/>
              <w:left w:w="80" w:type="dxa"/>
              <w:bottom w:w="60" w:type="dxa"/>
              <w:right w:w="80" w:type="dxa"/>
            </w:tcMar>
            <w:vAlign w:val="center"/>
          </w:tcPr>
          <w:p w:rsidR="001B32C2" w:rsidRDefault="001B32C2"/>
        </w:tc>
      </w:tr>
      <w:tr w:rsidR="001B32C2">
        <w:tblPrEx>
          <w:tblCellMar>
            <w:top w:w="0" w:type="dxa"/>
            <w:bottom w:w="0" w:type="dxa"/>
          </w:tblCellMar>
        </w:tblPrEx>
        <w:tc>
          <w:tcPr>
            <w:tcW w:w="3000" w:type="dxa"/>
            <w:tcMar>
              <w:top w:w="60" w:type="dxa"/>
              <w:left w:w="80" w:type="dxa"/>
              <w:bottom w:w="60" w:type="dxa"/>
              <w:right w:w="80" w:type="dxa"/>
            </w:tcMar>
            <w:vAlign w:val="center"/>
          </w:tcPr>
          <w:p w:rsidR="001B32C2" w:rsidRDefault="00000000">
            <w:r>
              <w:rPr>
                <w:color w:val="000000"/>
                <w:sz w:val="18"/>
                <w:szCs w:val="18"/>
              </w:rPr>
              <w:t>Date/Time Declared</w:t>
            </w:r>
          </w:p>
        </w:tc>
        <w:tc>
          <w:tcPr>
            <w:tcW w:w="7200" w:type="dxa"/>
            <w:tcMar>
              <w:top w:w="60" w:type="dxa"/>
              <w:left w:w="80" w:type="dxa"/>
              <w:bottom w:w="60" w:type="dxa"/>
              <w:right w:w="80" w:type="dxa"/>
            </w:tcMar>
            <w:vAlign w:val="center"/>
          </w:tcPr>
          <w:p w:rsidR="001B32C2" w:rsidRDefault="001B32C2"/>
        </w:tc>
      </w:tr>
      <w:tr w:rsidR="001B32C2">
        <w:tblPrEx>
          <w:tblCellMar>
            <w:top w:w="0" w:type="dxa"/>
            <w:bottom w:w="0" w:type="dxa"/>
          </w:tblCellMar>
        </w:tblPrEx>
        <w:tc>
          <w:tcPr>
            <w:tcW w:w="3000" w:type="dxa"/>
            <w:shd w:val="clear" w:color="auto" w:fill="F3F4F6"/>
            <w:tcMar>
              <w:top w:w="60" w:type="dxa"/>
              <w:left w:w="80" w:type="dxa"/>
              <w:bottom w:w="60" w:type="dxa"/>
              <w:right w:w="80" w:type="dxa"/>
            </w:tcMar>
            <w:vAlign w:val="center"/>
          </w:tcPr>
          <w:p w:rsidR="001B32C2" w:rsidRDefault="00000000">
            <w:r>
              <w:rPr>
                <w:color w:val="000000"/>
                <w:sz w:val="18"/>
                <w:szCs w:val="18"/>
              </w:rPr>
              <w:t>Severity</w:t>
            </w:r>
          </w:p>
        </w:tc>
        <w:tc>
          <w:tcPr>
            <w:tcW w:w="7200" w:type="dxa"/>
            <w:tcMar>
              <w:top w:w="60" w:type="dxa"/>
              <w:left w:w="80" w:type="dxa"/>
              <w:bottom w:w="60" w:type="dxa"/>
              <w:right w:w="80" w:type="dxa"/>
            </w:tcMar>
            <w:vAlign w:val="center"/>
          </w:tcPr>
          <w:p w:rsidR="001B32C2" w:rsidRDefault="00000000">
            <w:r>
              <w:rPr>
                <w:color w:val="000000"/>
                <w:sz w:val="18"/>
                <w:szCs w:val="18"/>
              </w:rPr>
              <w:t>Critical / High / Medium / Low</w:t>
            </w:r>
          </w:p>
        </w:tc>
      </w:tr>
      <w:tr w:rsidR="001B32C2">
        <w:tblPrEx>
          <w:tblCellMar>
            <w:top w:w="0" w:type="dxa"/>
            <w:bottom w:w="0" w:type="dxa"/>
          </w:tblCellMar>
        </w:tblPrEx>
        <w:tc>
          <w:tcPr>
            <w:tcW w:w="3000" w:type="dxa"/>
            <w:tcMar>
              <w:top w:w="60" w:type="dxa"/>
              <w:left w:w="80" w:type="dxa"/>
              <w:bottom w:w="60" w:type="dxa"/>
              <w:right w:w="80" w:type="dxa"/>
            </w:tcMar>
            <w:vAlign w:val="center"/>
          </w:tcPr>
          <w:p w:rsidR="001B32C2" w:rsidRDefault="00000000">
            <w:r>
              <w:rPr>
                <w:color w:val="000000"/>
                <w:sz w:val="18"/>
                <w:szCs w:val="18"/>
              </w:rPr>
              <w:t>Incident Commander</w:t>
            </w:r>
          </w:p>
        </w:tc>
        <w:tc>
          <w:tcPr>
            <w:tcW w:w="7200" w:type="dxa"/>
            <w:tcMar>
              <w:top w:w="60" w:type="dxa"/>
              <w:left w:w="80" w:type="dxa"/>
              <w:bottom w:w="60" w:type="dxa"/>
              <w:right w:w="80" w:type="dxa"/>
            </w:tcMar>
            <w:vAlign w:val="center"/>
          </w:tcPr>
          <w:p w:rsidR="001B32C2" w:rsidRDefault="001B32C2"/>
        </w:tc>
      </w:tr>
      <w:tr w:rsidR="001B32C2">
        <w:tblPrEx>
          <w:tblCellMar>
            <w:top w:w="0" w:type="dxa"/>
            <w:bottom w:w="0" w:type="dxa"/>
          </w:tblCellMar>
        </w:tblPrEx>
        <w:tc>
          <w:tcPr>
            <w:tcW w:w="3000" w:type="dxa"/>
            <w:shd w:val="clear" w:color="auto" w:fill="F3F4F6"/>
            <w:tcMar>
              <w:top w:w="60" w:type="dxa"/>
              <w:left w:w="80" w:type="dxa"/>
              <w:bottom w:w="60" w:type="dxa"/>
              <w:right w:w="80" w:type="dxa"/>
            </w:tcMar>
            <w:vAlign w:val="center"/>
          </w:tcPr>
          <w:p w:rsidR="001B32C2" w:rsidRDefault="00000000">
            <w:r>
              <w:rPr>
                <w:color w:val="000000"/>
                <w:sz w:val="18"/>
                <w:szCs w:val="18"/>
              </w:rPr>
              <w:t>Lead Analyst</w:t>
            </w:r>
          </w:p>
        </w:tc>
        <w:tc>
          <w:tcPr>
            <w:tcW w:w="7200" w:type="dxa"/>
            <w:tcMar>
              <w:top w:w="60" w:type="dxa"/>
              <w:left w:w="80" w:type="dxa"/>
              <w:bottom w:w="60" w:type="dxa"/>
              <w:right w:w="80" w:type="dxa"/>
            </w:tcMar>
            <w:vAlign w:val="center"/>
          </w:tcPr>
          <w:p w:rsidR="001B32C2" w:rsidRDefault="001B32C2"/>
        </w:tc>
      </w:tr>
      <w:tr w:rsidR="001B32C2">
        <w:tblPrEx>
          <w:tblCellMar>
            <w:top w:w="0" w:type="dxa"/>
            <w:bottom w:w="0" w:type="dxa"/>
          </w:tblCellMar>
        </w:tblPrEx>
        <w:tc>
          <w:tcPr>
            <w:tcW w:w="3000" w:type="dxa"/>
            <w:tcMar>
              <w:top w:w="60" w:type="dxa"/>
              <w:left w:w="80" w:type="dxa"/>
              <w:bottom w:w="60" w:type="dxa"/>
              <w:right w:w="80" w:type="dxa"/>
            </w:tcMar>
            <w:vAlign w:val="center"/>
          </w:tcPr>
          <w:p w:rsidR="001B32C2" w:rsidRDefault="00000000">
            <w:r>
              <w:rPr>
                <w:color w:val="000000"/>
                <w:sz w:val="18"/>
                <w:szCs w:val="18"/>
              </w:rPr>
              <w:t>Affected Assets</w:t>
            </w:r>
          </w:p>
        </w:tc>
        <w:tc>
          <w:tcPr>
            <w:tcW w:w="7200" w:type="dxa"/>
            <w:tcMar>
              <w:top w:w="60" w:type="dxa"/>
              <w:left w:w="80" w:type="dxa"/>
              <w:bottom w:w="60" w:type="dxa"/>
              <w:right w:w="80" w:type="dxa"/>
            </w:tcMar>
            <w:vAlign w:val="center"/>
          </w:tcPr>
          <w:p w:rsidR="001B32C2" w:rsidRDefault="001B32C2"/>
        </w:tc>
      </w:tr>
      <w:tr w:rsidR="001B32C2">
        <w:tblPrEx>
          <w:tblCellMar>
            <w:top w:w="0" w:type="dxa"/>
            <w:bottom w:w="0" w:type="dxa"/>
          </w:tblCellMar>
        </w:tblPrEx>
        <w:tc>
          <w:tcPr>
            <w:tcW w:w="3000" w:type="dxa"/>
            <w:shd w:val="clear" w:color="auto" w:fill="F3F4F6"/>
            <w:tcMar>
              <w:top w:w="60" w:type="dxa"/>
              <w:left w:w="80" w:type="dxa"/>
              <w:bottom w:w="60" w:type="dxa"/>
              <w:right w:w="80" w:type="dxa"/>
            </w:tcMar>
            <w:vAlign w:val="center"/>
          </w:tcPr>
          <w:p w:rsidR="001B32C2" w:rsidRDefault="00000000">
            <w:r>
              <w:rPr>
                <w:color w:val="000000"/>
                <w:sz w:val="18"/>
                <w:szCs w:val="18"/>
              </w:rPr>
              <w:t>Detection Source</w:t>
            </w:r>
          </w:p>
        </w:tc>
        <w:tc>
          <w:tcPr>
            <w:tcW w:w="7200" w:type="dxa"/>
            <w:tcMar>
              <w:top w:w="60" w:type="dxa"/>
              <w:left w:w="80" w:type="dxa"/>
              <w:bottom w:w="60" w:type="dxa"/>
              <w:right w:w="80" w:type="dxa"/>
            </w:tcMar>
            <w:vAlign w:val="center"/>
          </w:tcPr>
          <w:p w:rsidR="001B32C2" w:rsidRDefault="00000000">
            <w:r>
              <w:rPr>
                <w:color w:val="000000"/>
                <w:sz w:val="18"/>
                <w:szCs w:val="18"/>
              </w:rPr>
              <w:t>Sentinel / Defender / Entra ID / Manual / External</w:t>
            </w:r>
          </w:p>
        </w:tc>
      </w:tr>
      <w:tr w:rsidR="001B32C2">
        <w:tblPrEx>
          <w:tblCellMar>
            <w:top w:w="0" w:type="dxa"/>
            <w:bottom w:w="0" w:type="dxa"/>
          </w:tblCellMar>
        </w:tblPrEx>
        <w:tc>
          <w:tcPr>
            <w:tcW w:w="3000" w:type="dxa"/>
            <w:tcMar>
              <w:top w:w="60" w:type="dxa"/>
              <w:left w:w="80" w:type="dxa"/>
              <w:bottom w:w="60" w:type="dxa"/>
              <w:right w:w="80" w:type="dxa"/>
            </w:tcMar>
            <w:vAlign w:val="center"/>
          </w:tcPr>
          <w:p w:rsidR="001B32C2" w:rsidRDefault="00000000">
            <w:r>
              <w:rPr>
                <w:color w:val="000000"/>
                <w:sz w:val="18"/>
                <w:szCs w:val="18"/>
              </w:rPr>
              <w:lastRenderedPageBreak/>
              <w:t>Summary Description</w:t>
            </w:r>
          </w:p>
        </w:tc>
        <w:tc>
          <w:tcPr>
            <w:tcW w:w="7200" w:type="dxa"/>
            <w:tcMar>
              <w:top w:w="60" w:type="dxa"/>
              <w:left w:w="80" w:type="dxa"/>
              <w:bottom w:w="60" w:type="dxa"/>
              <w:right w:w="80" w:type="dxa"/>
            </w:tcMar>
            <w:vAlign w:val="center"/>
          </w:tcPr>
          <w:p w:rsidR="001B32C2" w:rsidRDefault="001B32C2"/>
        </w:tc>
      </w:tr>
      <w:tr w:rsidR="001B32C2">
        <w:tblPrEx>
          <w:tblCellMar>
            <w:top w:w="0" w:type="dxa"/>
            <w:bottom w:w="0" w:type="dxa"/>
          </w:tblCellMar>
        </w:tblPrEx>
        <w:tc>
          <w:tcPr>
            <w:tcW w:w="3000" w:type="dxa"/>
            <w:shd w:val="clear" w:color="auto" w:fill="F3F4F6"/>
            <w:tcMar>
              <w:top w:w="60" w:type="dxa"/>
              <w:left w:w="80" w:type="dxa"/>
              <w:bottom w:w="60" w:type="dxa"/>
              <w:right w:w="80" w:type="dxa"/>
            </w:tcMar>
            <w:vAlign w:val="center"/>
          </w:tcPr>
          <w:p w:rsidR="001B32C2" w:rsidRDefault="00000000">
            <w:r>
              <w:rPr>
                <w:color w:val="000000"/>
                <w:sz w:val="18"/>
                <w:szCs w:val="18"/>
              </w:rPr>
              <w:t>Timeline of Events</w:t>
            </w:r>
          </w:p>
        </w:tc>
        <w:tc>
          <w:tcPr>
            <w:tcW w:w="7200" w:type="dxa"/>
            <w:tcMar>
              <w:top w:w="60" w:type="dxa"/>
              <w:left w:w="80" w:type="dxa"/>
              <w:bottom w:w="60" w:type="dxa"/>
              <w:right w:w="80" w:type="dxa"/>
            </w:tcMar>
            <w:vAlign w:val="center"/>
          </w:tcPr>
          <w:p w:rsidR="001B32C2" w:rsidRDefault="00000000">
            <w:r>
              <w:rPr>
                <w:color w:val="000000"/>
                <w:sz w:val="18"/>
                <w:szCs w:val="18"/>
              </w:rPr>
              <w:t>(List chronologically with timestamps)</w:t>
            </w:r>
          </w:p>
        </w:tc>
      </w:tr>
      <w:tr w:rsidR="001B32C2">
        <w:tblPrEx>
          <w:tblCellMar>
            <w:top w:w="0" w:type="dxa"/>
            <w:bottom w:w="0" w:type="dxa"/>
          </w:tblCellMar>
        </w:tblPrEx>
        <w:tc>
          <w:tcPr>
            <w:tcW w:w="3000" w:type="dxa"/>
            <w:tcMar>
              <w:top w:w="60" w:type="dxa"/>
              <w:left w:w="80" w:type="dxa"/>
              <w:bottom w:w="60" w:type="dxa"/>
              <w:right w:w="80" w:type="dxa"/>
            </w:tcMar>
            <w:vAlign w:val="center"/>
          </w:tcPr>
          <w:p w:rsidR="001B32C2" w:rsidRDefault="00000000">
            <w:r>
              <w:rPr>
                <w:color w:val="000000"/>
                <w:sz w:val="18"/>
                <w:szCs w:val="18"/>
              </w:rPr>
              <w:t>Containment Actions</w:t>
            </w:r>
          </w:p>
        </w:tc>
        <w:tc>
          <w:tcPr>
            <w:tcW w:w="7200" w:type="dxa"/>
            <w:tcMar>
              <w:top w:w="60" w:type="dxa"/>
              <w:left w:w="80" w:type="dxa"/>
              <w:bottom w:w="60" w:type="dxa"/>
              <w:right w:w="80" w:type="dxa"/>
            </w:tcMar>
            <w:vAlign w:val="center"/>
          </w:tcPr>
          <w:p w:rsidR="001B32C2" w:rsidRDefault="001B32C2"/>
        </w:tc>
      </w:tr>
      <w:tr w:rsidR="001B32C2">
        <w:tblPrEx>
          <w:tblCellMar>
            <w:top w:w="0" w:type="dxa"/>
            <w:bottom w:w="0" w:type="dxa"/>
          </w:tblCellMar>
        </w:tblPrEx>
        <w:tc>
          <w:tcPr>
            <w:tcW w:w="3000" w:type="dxa"/>
            <w:shd w:val="clear" w:color="auto" w:fill="F3F4F6"/>
            <w:tcMar>
              <w:top w:w="60" w:type="dxa"/>
              <w:left w:w="80" w:type="dxa"/>
              <w:bottom w:w="60" w:type="dxa"/>
              <w:right w:w="80" w:type="dxa"/>
            </w:tcMar>
            <w:vAlign w:val="center"/>
          </w:tcPr>
          <w:p w:rsidR="001B32C2" w:rsidRDefault="00000000">
            <w:r>
              <w:rPr>
                <w:color w:val="000000"/>
                <w:sz w:val="18"/>
                <w:szCs w:val="18"/>
              </w:rPr>
              <w:t>Eradication Actions</w:t>
            </w:r>
          </w:p>
        </w:tc>
        <w:tc>
          <w:tcPr>
            <w:tcW w:w="7200" w:type="dxa"/>
            <w:tcMar>
              <w:top w:w="60" w:type="dxa"/>
              <w:left w:w="80" w:type="dxa"/>
              <w:bottom w:w="60" w:type="dxa"/>
              <w:right w:w="80" w:type="dxa"/>
            </w:tcMar>
            <w:vAlign w:val="center"/>
          </w:tcPr>
          <w:p w:rsidR="001B32C2" w:rsidRDefault="001B32C2"/>
        </w:tc>
      </w:tr>
      <w:tr w:rsidR="001B32C2">
        <w:tblPrEx>
          <w:tblCellMar>
            <w:top w:w="0" w:type="dxa"/>
            <w:bottom w:w="0" w:type="dxa"/>
          </w:tblCellMar>
        </w:tblPrEx>
        <w:tc>
          <w:tcPr>
            <w:tcW w:w="3000" w:type="dxa"/>
            <w:tcMar>
              <w:top w:w="60" w:type="dxa"/>
              <w:left w:w="80" w:type="dxa"/>
              <w:bottom w:w="60" w:type="dxa"/>
              <w:right w:w="80" w:type="dxa"/>
            </w:tcMar>
            <w:vAlign w:val="center"/>
          </w:tcPr>
          <w:p w:rsidR="001B32C2" w:rsidRDefault="00000000">
            <w:r>
              <w:rPr>
                <w:color w:val="000000"/>
                <w:sz w:val="18"/>
                <w:szCs w:val="18"/>
              </w:rPr>
              <w:t>Recovery Actions</w:t>
            </w:r>
          </w:p>
        </w:tc>
        <w:tc>
          <w:tcPr>
            <w:tcW w:w="7200" w:type="dxa"/>
            <w:tcMar>
              <w:top w:w="60" w:type="dxa"/>
              <w:left w:w="80" w:type="dxa"/>
              <w:bottom w:w="60" w:type="dxa"/>
              <w:right w:w="80" w:type="dxa"/>
            </w:tcMar>
            <w:vAlign w:val="center"/>
          </w:tcPr>
          <w:p w:rsidR="001B32C2" w:rsidRDefault="001B32C2"/>
        </w:tc>
      </w:tr>
      <w:tr w:rsidR="001B32C2">
        <w:tblPrEx>
          <w:tblCellMar>
            <w:top w:w="0" w:type="dxa"/>
            <w:bottom w:w="0" w:type="dxa"/>
          </w:tblCellMar>
        </w:tblPrEx>
        <w:tc>
          <w:tcPr>
            <w:tcW w:w="3000" w:type="dxa"/>
            <w:shd w:val="clear" w:color="auto" w:fill="F3F4F6"/>
            <w:tcMar>
              <w:top w:w="60" w:type="dxa"/>
              <w:left w:w="80" w:type="dxa"/>
              <w:bottom w:w="60" w:type="dxa"/>
              <w:right w:w="80" w:type="dxa"/>
            </w:tcMar>
            <w:vAlign w:val="center"/>
          </w:tcPr>
          <w:p w:rsidR="001B32C2" w:rsidRDefault="00000000">
            <w:r>
              <w:rPr>
                <w:color w:val="000000"/>
                <w:sz w:val="18"/>
                <w:szCs w:val="18"/>
              </w:rPr>
              <w:t>External Notifications Sent</w:t>
            </w:r>
          </w:p>
        </w:tc>
        <w:tc>
          <w:tcPr>
            <w:tcW w:w="7200" w:type="dxa"/>
            <w:tcMar>
              <w:top w:w="60" w:type="dxa"/>
              <w:left w:w="80" w:type="dxa"/>
              <w:bottom w:w="60" w:type="dxa"/>
              <w:right w:w="80" w:type="dxa"/>
            </w:tcMar>
            <w:vAlign w:val="center"/>
          </w:tcPr>
          <w:p w:rsidR="001B32C2" w:rsidRDefault="00000000">
            <w:r>
              <w:rPr>
                <w:color w:val="000000"/>
                <w:sz w:val="18"/>
                <w:szCs w:val="18"/>
              </w:rPr>
              <w:t>Yes / No — if yes, date sent and to whom</w:t>
            </w:r>
          </w:p>
        </w:tc>
      </w:tr>
      <w:tr w:rsidR="001B32C2">
        <w:tblPrEx>
          <w:tblCellMar>
            <w:top w:w="0" w:type="dxa"/>
            <w:bottom w:w="0" w:type="dxa"/>
          </w:tblCellMar>
        </w:tblPrEx>
        <w:tc>
          <w:tcPr>
            <w:tcW w:w="3000" w:type="dxa"/>
            <w:tcMar>
              <w:top w:w="60" w:type="dxa"/>
              <w:left w:w="80" w:type="dxa"/>
              <w:bottom w:w="60" w:type="dxa"/>
              <w:right w:w="80" w:type="dxa"/>
            </w:tcMar>
            <w:vAlign w:val="center"/>
          </w:tcPr>
          <w:p w:rsidR="001B32C2" w:rsidRDefault="00000000">
            <w:r>
              <w:rPr>
                <w:color w:val="000000"/>
                <w:sz w:val="18"/>
                <w:szCs w:val="18"/>
              </w:rPr>
              <w:t>Root Cause</w:t>
            </w:r>
          </w:p>
        </w:tc>
        <w:tc>
          <w:tcPr>
            <w:tcW w:w="7200" w:type="dxa"/>
            <w:tcMar>
              <w:top w:w="60" w:type="dxa"/>
              <w:left w:w="80" w:type="dxa"/>
              <w:bottom w:w="60" w:type="dxa"/>
              <w:right w:w="80" w:type="dxa"/>
            </w:tcMar>
            <w:vAlign w:val="center"/>
          </w:tcPr>
          <w:p w:rsidR="001B32C2" w:rsidRDefault="001B32C2"/>
        </w:tc>
      </w:tr>
      <w:tr w:rsidR="001B32C2">
        <w:tblPrEx>
          <w:tblCellMar>
            <w:top w:w="0" w:type="dxa"/>
            <w:bottom w:w="0" w:type="dxa"/>
          </w:tblCellMar>
        </w:tblPrEx>
        <w:tc>
          <w:tcPr>
            <w:tcW w:w="3000" w:type="dxa"/>
            <w:shd w:val="clear" w:color="auto" w:fill="F3F4F6"/>
            <w:tcMar>
              <w:top w:w="60" w:type="dxa"/>
              <w:left w:w="80" w:type="dxa"/>
              <w:bottom w:w="60" w:type="dxa"/>
              <w:right w:w="80" w:type="dxa"/>
            </w:tcMar>
            <w:vAlign w:val="center"/>
          </w:tcPr>
          <w:p w:rsidR="001B32C2" w:rsidRDefault="00000000">
            <w:r>
              <w:rPr>
                <w:color w:val="000000"/>
                <w:sz w:val="18"/>
                <w:szCs w:val="18"/>
              </w:rPr>
              <w:t>Lessons Learned</w:t>
            </w:r>
          </w:p>
        </w:tc>
        <w:tc>
          <w:tcPr>
            <w:tcW w:w="7200" w:type="dxa"/>
            <w:tcMar>
              <w:top w:w="60" w:type="dxa"/>
              <w:left w:w="80" w:type="dxa"/>
              <w:bottom w:w="60" w:type="dxa"/>
              <w:right w:w="80" w:type="dxa"/>
            </w:tcMar>
            <w:vAlign w:val="center"/>
          </w:tcPr>
          <w:p w:rsidR="001B32C2" w:rsidRDefault="001B32C2"/>
        </w:tc>
      </w:tr>
      <w:tr w:rsidR="001B32C2">
        <w:tblPrEx>
          <w:tblCellMar>
            <w:top w:w="0" w:type="dxa"/>
            <w:bottom w:w="0" w:type="dxa"/>
          </w:tblCellMar>
        </w:tblPrEx>
        <w:tc>
          <w:tcPr>
            <w:tcW w:w="3000" w:type="dxa"/>
            <w:tcMar>
              <w:top w:w="60" w:type="dxa"/>
              <w:left w:w="80" w:type="dxa"/>
              <w:bottom w:w="60" w:type="dxa"/>
              <w:right w:w="80" w:type="dxa"/>
            </w:tcMar>
            <w:vAlign w:val="center"/>
          </w:tcPr>
          <w:p w:rsidR="001B32C2" w:rsidRDefault="00000000">
            <w:r>
              <w:rPr>
                <w:color w:val="000000"/>
                <w:sz w:val="18"/>
                <w:szCs w:val="18"/>
              </w:rPr>
              <w:t>Closure Approved By</w:t>
            </w:r>
          </w:p>
        </w:tc>
        <w:tc>
          <w:tcPr>
            <w:tcW w:w="7200" w:type="dxa"/>
            <w:tcMar>
              <w:top w:w="60" w:type="dxa"/>
              <w:left w:w="80" w:type="dxa"/>
              <w:bottom w:w="60" w:type="dxa"/>
              <w:right w:w="80" w:type="dxa"/>
            </w:tcMar>
            <w:vAlign w:val="center"/>
          </w:tcPr>
          <w:p w:rsidR="001B32C2" w:rsidRDefault="001B32C2"/>
        </w:tc>
      </w:tr>
      <w:tr w:rsidR="001B32C2">
        <w:tblPrEx>
          <w:tblCellMar>
            <w:top w:w="0" w:type="dxa"/>
            <w:bottom w:w="0" w:type="dxa"/>
          </w:tblCellMar>
        </w:tblPrEx>
        <w:tc>
          <w:tcPr>
            <w:tcW w:w="3000" w:type="dxa"/>
            <w:shd w:val="clear" w:color="auto" w:fill="F3F4F6"/>
            <w:tcMar>
              <w:top w:w="60" w:type="dxa"/>
              <w:left w:w="80" w:type="dxa"/>
              <w:bottom w:w="60" w:type="dxa"/>
              <w:right w:w="80" w:type="dxa"/>
            </w:tcMar>
            <w:vAlign w:val="center"/>
          </w:tcPr>
          <w:p w:rsidR="001B32C2" w:rsidRDefault="00000000">
            <w:r>
              <w:rPr>
                <w:color w:val="000000"/>
                <w:sz w:val="18"/>
                <w:szCs w:val="18"/>
              </w:rPr>
              <w:t>Date Closed</w:t>
            </w:r>
          </w:p>
        </w:tc>
        <w:tc>
          <w:tcPr>
            <w:tcW w:w="7200" w:type="dxa"/>
            <w:tcMar>
              <w:top w:w="60" w:type="dxa"/>
              <w:left w:w="80" w:type="dxa"/>
              <w:bottom w:w="60" w:type="dxa"/>
              <w:right w:w="80" w:type="dxa"/>
            </w:tcMar>
            <w:vAlign w:val="center"/>
          </w:tcPr>
          <w:p w:rsidR="001B32C2" w:rsidRDefault="001B32C2"/>
        </w:tc>
      </w:tr>
    </w:tbl>
    <w:p w:rsidR="001B32C2" w:rsidRDefault="001B32C2">
      <w:pPr>
        <w:spacing w:after="120"/>
      </w:pPr>
    </w:p>
    <w:p w:rsidR="001B32C2" w:rsidRDefault="001B32C2">
      <w:pPr>
        <w:spacing w:after="120"/>
      </w:pPr>
    </w:p>
    <w:p w:rsidR="001B32C2" w:rsidRDefault="00000000">
      <w:pPr>
        <w:pStyle w:val="Heading1"/>
        <w:pBdr>
          <w:bottom w:val="single" w:sz="8" w:space="0" w:color="1F2937"/>
        </w:pBdr>
      </w:pPr>
      <w:r>
        <w:t>9. DOCUMENT CONTROL</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3200"/>
        <w:gridCol w:w="3500"/>
      </w:tblGrid>
      <w:tr w:rsidR="001B32C2">
        <w:tblPrEx>
          <w:tblCellMar>
            <w:top w:w="0" w:type="dxa"/>
            <w:bottom w:w="0" w:type="dxa"/>
          </w:tblCellMar>
        </w:tblPrEx>
        <w:trPr>
          <w:tblHeader/>
        </w:trPr>
        <w:tc>
          <w:tcPr>
            <w:tcW w:w="1500" w:type="dxa"/>
            <w:shd w:val="clear" w:color="auto" w:fill="1F2937"/>
            <w:tcMar>
              <w:top w:w="60" w:type="dxa"/>
              <w:left w:w="80" w:type="dxa"/>
              <w:bottom w:w="60" w:type="dxa"/>
              <w:right w:w="80" w:type="dxa"/>
            </w:tcMar>
            <w:vAlign w:val="center"/>
          </w:tcPr>
          <w:p w:rsidR="001B32C2" w:rsidRDefault="00000000">
            <w:r>
              <w:rPr>
                <w:b/>
                <w:bCs/>
                <w:color w:val="FFFFFF"/>
                <w:sz w:val="18"/>
                <w:szCs w:val="18"/>
              </w:rPr>
              <w:t>Version</w:t>
            </w:r>
          </w:p>
        </w:tc>
        <w:tc>
          <w:tcPr>
            <w:tcW w:w="2000" w:type="dxa"/>
            <w:shd w:val="clear" w:color="auto" w:fill="1F2937"/>
            <w:tcMar>
              <w:top w:w="60" w:type="dxa"/>
              <w:left w:w="80" w:type="dxa"/>
              <w:bottom w:w="60" w:type="dxa"/>
              <w:right w:w="80" w:type="dxa"/>
            </w:tcMar>
            <w:vAlign w:val="center"/>
          </w:tcPr>
          <w:p w:rsidR="001B32C2" w:rsidRDefault="00000000">
            <w:r>
              <w:rPr>
                <w:b/>
                <w:bCs/>
                <w:color w:val="FFFFFF"/>
                <w:sz w:val="18"/>
                <w:szCs w:val="18"/>
              </w:rPr>
              <w:t>Date</w:t>
            </w:r>
          </w:p>
        </w:tc>
        <w:tc>
          <w:tcPr>
            <w:tcW w:w="3200" w:type="dxa"/>
            <w:shd w:val="clear" w:color="auto" w:fill="1F2937"/>
            <w:tcMar>
              <w:top w:w="60" w:type="dxa"/>
              <w:left w:w="80" w:type="dxa"/>
              <w:bottom w:w="60" w:type="dxa"/>
              <w:right w:w="80" w:type="dxa"/>
            </w:tcMar>
            <w:vAlign w:val="center"/>
          </w:tcPr>
          <w:p w:rsidR="001B32C2" w:rsidRDefault="00000000">
            <w:r>
              <w:rPr>
                <w:b/>
                <w:bCs/>
                <w:color w:val="FFFFFF"/>
                <w:sz w:val="18"/>
                <w:szCs w:val="18"/>
              </w:rPr>
              <w:t>Author</w:t>
            </w:r>
          </w:p>
        </w:tc>
        <w:tc>
          <w:tcPr>
            <w:tcW w:w="3500" w:type="dxa"/>
            <w:shd w:val="clear" w:color="auto" w:fill="1F2937"/>
            <w:tcMar>
              <w:top w:w="60" w:type="dxa"/>
              <w:left w:w="80" w:type="dxa"/>
              <w:bottom w:w="60" w:type="dxa"/>
              <w:right w:w="80" w:type="dxa"/>
            </w:tcMar>
            <w:vAlign w:val="center"/>
          </w:tcPr>
          <w:p w:rsidR="001B32C2" w:rsidRDefault="00000000">
            <w:r>
              <w:rPr>
                <w:b/>
                <w:bCs/>
                <w:color w:val="FFFFFF"/>
                <w:sz w:val="18"/>
                <w:szCs w:val="18"/>
              </w:rPr>
              <w:t>Changes</w:t>
            </w:r>
          </w:p>
        </w:tc>
      </w:tr>
      <w:tr w:rsidR="001B32C2">
        <w:tblPrEx>
          <w:tblCellMar>
            <w:top w:w="0" w:type="dxa"/>
            <w:bottom w:w="0" w:type="dxa"/>
          </w:tblCellMar>
        </w:tblPrEx>
        <w:tc>
          <w:tcPr>
            <w:tcW w:w="1500" w:type="dxa"/>
            <w:tcMar>
              <w:top w:w="60" w:type="dxa"/>
              <w:left w:w="80" w:type="dxa"/>
              <w:bottom w:w="60" w:type="dxa"/>
              <w:right w:w="80" w:type="dxa"/>
            </w:tcMar>
            <w:vAlign w:val="center"/>
          </w:tcPr>
          <w:p w:rsidR="001B32C2" w:rsidRDefault="00000000">
            <w:r>
              <w:rPr>
                <w:color w:val="000000"/>
                <w:sz w:val="18"/>
                <w:szCs w:val="18"/>
              </w:rPr>
              <w:t>1.0</w:t>
            </w:r>
          </w:p>
        </w:tc>
        <w:tc>
          <w:tcPr>
            <w:tcW w:w="2000" w:type="dxa"/>
            <w:tcMar>
              <w:top w:w="60" w:type="dxa"/>
              <w:left w:w="80" w:type="dxa"/>
              <w:bottom w:w="60" w:type="dxa"/>
              <w:right w:w="80" w:type="dxa"/>
            </w:tcMar>
            <w:vAlign w:val="center"/>
          </w:tcPr>
          <w:p w:rsidR="001B32C2" w:rsidRDefault="00000000">
            <w:r>
              <w:rPr>
                <w:color w:val="000000"/>
                <w:sz w:val="18"/>
                <w:szCs w:val="18"/>
              </w:rPr>
              <w:t>J</w:t>
            </w:r>
            <w:proofErr w:type="spellStart"/>
            <w:r w:rsidR="002D47E8">
              <w:rPr>
                <w:color w:val="000000"/>
                <w:sz w:val="18"/>
                <w:szCs w:val="18"/>
                <w:lang w:val="en-US"/>
              </w:rPr>
              <w:t>uly</w:t>
            </w:r>
            <w:proofErr w:type="spellEnd"/>
            <w:r>
              <w:rPr>
                <w:color w:val="000000"/>
                <w:sz w:val="18"/>
                <w:szCs w:val="18"/>
              </w:rPr>
              <w:t xml:space="preserve"> 2026</w:t>
            </w:r>
          </w:p>
        </w:tc>
        <w:tc>
          <w:tcPr>
            <w:tcW w:w="3200" w:type="dxa"/>
            <w:tcMar>
              <w:top w:w="60" w:type="dxa"/>
              <w:left w:w="80" w:type="dxa"/>
              <w:bottom w:w="60" w:type="dxa"/>
              <w:right w:w="80" w:type="dxa"/>
            </w:tcMar>
            <w:vAlign w:val="center"/>
          </w:tcPr>
          <w:p w:rsidR="001B32C2" w:rsidRDefault="00000000">
            <w:r>
              <w:rPr>
                <w:color w:val="000000"/>
                <w:sz w:val="18"/>
                <w:szCs w:val="18"/>
              </w:rPr>
              <w:t>Chau Pham</w:t>
            </w:r>
          </w:p>
        </w:tc>
        <w:tc>
          <w:tcPr>
            <w:tcW w:w="3500" w:type="dxa"/>
            <w:tcMar>
              <w:top w:w="60" w:type="dxa"/>
              <w:left w:w="80" w:type="dxa"/>
              <w:bottom w:w="60" w:type="dxa"/>
              <w:right w:w="80" w:type="dxa"/>
            </w:tcMar>
            <w:vAlign w:val="center"/>
          </w:tcPr>
          <w:p w:rsidR="001B32C2" w:rsidRDefault="00000000">
            <w:r>
              <w:rPr>
                <w:color w:val="000000"/>
                <w:sz w:val="18"/>
                <w:szCs w:val="18"/>
              </w:rPr>
              <w:t>Initial document — formalizes existing incident response practices at Log(N) Pacific based on NIST SP 800-61 Rev. 2 and the NIST CSF 2.0 gap assessment findings.</w:t>
            </w:r>
          </w:p>
        </w:tc>
      </w:tr>
    </w:tbl>
    <w:p w:rsidR="001B32C2" w:rsidRDefault="001B32C2">
      <w:pPr>
        <w:spacing w:after="120"/>
      </w:pPr>
    </w:p>
    <w:p w:rsidR="001B32C2" w:rsidRDefault="00000000">
      <w:pPr>
        <w:spacing w:after="80"/>
      </w:pPr>
      <w:r>
        <w:rPr>
          <w:color w:val="000000"/>
        </w:rPr>
        <w:t>This document is reviewed annually and after any declared incident. The owner of this document is Josh Madakor, Log(N) Pacific.</w:t>
      </w:r>
    </w:p>
    <w:p w:rsidR="001B32C2" w:rsidRDefault="001B32C2">
      <w:pPr>
        <w:spacing w:after="120"/>
      </w:pPr>
    </w:p>
    <w:p w:rsidR="001B32C2" w:rsidRDefault="001B32C2">
      <w:pPr>
        <w:pBdr>
          <w:top w:val="single" w:sz="4" w:space="0" w:color="CCCCCC"/>
        </w:pBdr>
      </w:pPr>
    </w:p>
    <w:p w:rsidR="001B32C2" w:rsidRDefault="001B32C2">
      <w:pPr>
        <w:spacing w:after="120"/>
      </w:pPr>
    </w:p>
    <w:p w:rsidR="001B32C2" w:rsidRDefault="00000000">
      <w:pPr>
        <w:spacing w:after="80"/>
        <w:jc w:val="center"/>
      </w:pPr>
      <w:r>
        <w:rPr>
          <w:i/>
          <w:iCs/>
          <w:color w:val="6B7280"/>
        </w:rPr>
        <w:t>RS-001 Incident Response Plan v1.0  |  Log(N) Pacific  |  Prepared by Chau Pham  |  J</w:t>
      </w:r>
      <w:proofErr w:type="spellStart"/>
      <w:r w:rsidR="002D47E8">
        <w:rPr>
          <w:i/>
          <w:iCs/>
          <w:color w:val="6B7280"/>
          <w:lang w:val="en-US"/>
        </w:rPr>
        <w:t>uly</w:t>
      </w:r>
      <w:proofErr w:type="spellEnd"/>
      <w:r>
        <w:rPr>
          <w:i/>
          <w:iCs/>
          <w:color w:val="6B7280"/>
        </w:rPr>
        <w:t xml:space="preserve"> 2026</w:t>
      </w:r>
    </w:p>
    <w:sectPr w:rsidR="001B32C2">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D05B5"/>
    <w:multiLevelType w:val="hybridMultilevel"/>
    <w:tmpl w:val="24E016E0"/>
    <w:lvl w:ilvl="0" w:tplc="05446798">
      <w:start w:val="1"/>
      <w:numFmt w:val="bullet"/>
      <w:lvlText w:val="●"/>
      <w:lvlJc w:val="left"/>
      <w:pPr>
        <w:ind w:left="720" w:hanging="360"/>
      </w:pPr>
    </w:lvl>
    <w:lvl w:ilvl="1" w:tplc="A96AB136">
      <w:start w:val="1"/>
      <w:numFmt w:val="bullet"/>
      <w:lvlText w:val="○"/>
      <w:lvlJc w:val="left"/>
      <w:pPr>
        <w:ind w:left="1440" w:hanging="360"/>
      </w:pPr>
    </w:lvl>
    <w:lvl w:ilvl="2" w:tplc="DCCC1356">
      <w:start w:val="1"/>
      <w:numFmt w:val="bullet"/>
      <w:lvlText w:val="■"/>
      <w:lvlJc w:val="left"/>
      <w:pPr>
        <w:ind w:left="2160" w:hanging="360"/>
      </w:pPr>
    </w:lvl>
    <w:lvl w:ilvl="3" w:tplc="0A48E8E0">
      <w:start w:val="1"/>
      <w:numFmt w:val="bullet"/>
      <w:lvlText w:val="●"/>
      <w:lvlJc w:val="left"/>
      <w:pPr>
        <w:ind w:left="2880" w:hanging="360"/>
      </w:pPr>
    </w:lvl>
    <w:lvl w:ilvl="4" w:tplc="73D63204">
      <w:start w:val="1"/>
      <w:numFmt w:val="bullet"/>
      <w:lvlText w:val="○"/>
      <w:lvlJc w:val="left"/>
      <w:pPr>
        <w:ind w:left="3600" w:hanging="360"/>
      </w:pPr>
    </w:lvl>
    <w:lvl w:ilvl="5" w:tplc="548ABF50">
      <w:start w:val="1"/>
      <w:numFmt w:val="bullet"/>
      <w:lvlText w:val="■"/>
      <w:lvlJc w:val="left"/>
      <w:pPr>
        <w:ind w:left="4320" w:hanging="360"/>
      </w:pPr>
    </w:lvl>
    <w:lvl w:ilvl="6" w:tplc="FCC47688">
      <w:start w:val="1"/>
      <w:numFmt w:val="bullet"/>
      <w:lvlText w:val="●"/>
      <w:lvlJc w:val="left"/>
      <w:pPr>
        <w:ind w:left="5040" w:hanging="360"/>
      </w:pPr>
    </w:lvl>
    <w:lvl w:ilvl="7" w:tplc="A18C0D0C">
      <w:start w:val="1"/>
      <w:numFmt w:val="bullet"/>
      <w:lvlText w:val="●"/>
      <w:lvlJc w:val="left"/>
      <w:pPr>
        <w:ind w:left="5760" w:hanging="360"/>
      </w:pPr>
    </w:lvl>
    <w:lvl w:ilvl="8" w:tplc="0B1C82AA">
      <w:start w:val="1"/>
      <w:numFmt w:val="bullet"/>
      <w:lvlText w:val="●"/>
      <w:lvlJc w:val="left"/>
      <w:pPr>
        <w:ind w:left="6480" w:hanging="360"/>
      </w:pPr>
    </w:lvl>
  </w:abstractNum>
  <w:abstractNum w:abstractNumId="1" w15:restartNumberingAfterBreak="0">
    <w:nsid w:val="2469081D"/>
    <w:multiLevelType w:val="hybridMultilevel"/>
    <w:tmpl w:val="C28E52DA"/>
    <w:lvl w:ilvl="0" w:tplc="0E0428E4">
      <w:start w:val="1"/>
      <w:numFmt w:val="bullet"/>
      <w:lvlText w:val="○"/>
      <w:lvlJc w:val="left"/>
      <w:pPr>
        <w:ind w:left="720" w:hanging="180"/>
      </w:pPr>
    </w:lvl>
    <w:lvl w:ilvl="1" w:tplc="1C6CDC32">
      <w:numFmt w:val="decimal"/>
      <w:lvlText w:val=""/>
      <w:lvlJc w:val="left"/>
    </w:lvl>
    <w:lvl w:ilvl="2" w:tplc="E4D2DF18">
      <w:numFmt w:val="decimal"/>
      <w:lvlText w:val=""/>
      <w:lvlJc w:val="left"/>
    </w:lvl>
    <w:lvl w:ilvl="3" w:tplc="51D81A54">
      <w:numFmt w:val="decimal"/>
      <w:lvlText w:val=""/>
      <w:lvlJc w:val="left"/>
    </w:lvl>
    <w:lvl w:ilvl="4" w:tplc="8544E566">
      <w:numFmt w:val="decimal"/>
      <w:lvlText w:val=""/>
      <w:lvlJc w:val="left"/>
    </w:lvl>
    <w:lvl w:ilvl="5" w:tplc="12DA906C">
      <w:numFmt w:val="decimal"/>
      <w:lvlText w:val=""/>
      <w:lvlJc w:val="left"/>
    </w:lvl>
    <w:lvl w:ilvl="6" w:tplc="FAAA1196">
      <w:numFmt w:val="decimal"/>
      <w:lvlText w:val=""/>
      <w:lvlJc w:val="left"/>
    </w:lvl>
    <w:lvl w:ilvl="7" w:tplc="F2788F5A">
      <w:numFmt w:val="decimal"/>
      <w:lvlText w:val=""/>
      <w:lvlJc w:val="left"/>
    </w:lvl>
    <w:lvl w:ilvl="8" w:tplc="FE22106C">
      <w:numFmt w:val="decimal"/>
      <w:lvlText w:val=""/>
      <w:lvlJc w:val="left"/>
    </w:lvl>
  </w:abstractNum>
  <w:abstractNum w:abstractNumId="2" w15:restartNumberingAfterBreak="0">
    <w:nsid w:val="56FA74C3"/>
    <w:multiLevelType w:val="hybridMultilevel"/>
    <w:tmpl w:val="3AD43376"/>
    <w:lvl w:ilvl="0" w:tplc="AC5E39B8">
      <w:start w:val="1"/>
      <w:numFmt w:val="bullet"/>
      <w:lvlText w:val="•"/>
      <w:lvlJc w:val="left"/>
      <w:pPr>
        <w:ind w:left="360" w:hanging="180"/>
      </w:pPr>
    </w:lvl>
    <w:lvl w:ilvl="1" w:tplc="BBC4D9EC">
      <w:numFmt w:val="decimal"/>
      <w:lvlText w:val=""/>
      <w:lvlJc w:val="left"/>
    </w:lvl>
    <w:lvl w:ilvl="2" w:tplc="EFEA84DA">
      <w:numFmt w:val="decimal"/>
      <w:lvlText w:val=""/>
      <w:lvlJc w:val="left"/>
    </w:lvl>
    <w:lvl w:ilvl="3" w:tplc="3EFA6986">
      <w:numFmt w:val="decimal"/>
      <w:lvlText w:val=""/>
      <w:lvlJc w:val="left"/>
    </w:lvl>
    <w:lvl w:ilvl="4" w:tplc="C3D8E780">
      <w:numFmt w:val="decimal"/>
      <w:lvlText w:val=""/>
      <w:lvlJc w:val="left"/>
    </w:lvl>
    <w:lvl w:ilvl="5" w:tplc="A52AB384">
      <w:numFmt w:val="decimal"/>
      <w:lvlText w:val=""/>
      <w:lvlJc w:val="left"/>
    </w:lvl>
    <w:lvl w:ilvl="6" w:tplc="422CFCC8">
      <w:numFmt w:val="decimal"/>
      <w:lvlText w:val=""/>
      <w:lvlJc w:val="left"/>
    </w:lvl>
    <w:lvl w:ilvl="7" w:tplc="47FE3F32">
      <w:numFmt w:val="decimal"/>
      <w:lvlText w:val=""/>
      <w:lvlJc w:val="left"/>
    </w:lvl>
    <w:lvl w:ilvl="8" w:tplc="CA2EDD14">
      <w:numFmt w:val="decimal"/>
      <w:lvlText w:val=""/>
      <w:lvlJc w:val="left"/>
    </w:lvl>
  </w:abstractNum>
  <w:num w:numId="1" w16cid:durableId="412894619">
    <w:abstractNumId w:val="0"/>
    <w:lvlOverride w:ilvl="0">
      <w:startOverride w:val="1"/>
    </w:lvlOverride>
  </w:num>
  <w:num w:numId="2" w16cid:durableId="52907279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2C2"/>
    <w:rsid w:val="00141BA3"/>
    <w:rsid w:val="001B32C2"/>
    <w:rsid w:val="002D47E8"/>
    <w:rsid w:val="00A429CD"/>
    <w:rsid w:val="00B0424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E1ECE18"/>
  <w15:docId w15:val="{0E760369-9C10-AE4A-B8C6-EB978EA59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80"/>
      <w:outlineLvl w:val="0"/>
    </w:pPr>
    <w:rPr>
      <w:b/>
      <w:bCs/>
      <w:color w:val="1F2937"/>
      <w:sz w:val="24"/>
      <w:szCs w:val="24"/>
    </w:rPr>
  </w:style>
  <w:style w:type="paragraph" w:styleId="Heading2">
    <w:name w:val="heading 2"/>
    <w:uiPriority w:val="9"/>
    <w:unhideWhenUsed/>
    <w:qFormat/>
    <w:pPr>
      <w:spacing w:before="180" w:after="60"/>
      <w:outlineLvl w:val="1"/>
    </w:pPr>
    <w:rPr>
      <w:b/>
      <w:bCs/>
      <w:color w:val="374151"/>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1841</Words>
  <Characters>10496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Chau Pham</cp:lastModifiedBy>
  <cp:revision>3</cp:revision>
  <dcterms:created xsi:type="dcterms:W3CDTF">2026-07-06T18:35:00Z</dcterms:created>
  <dcterms:modified xsi:type="dcterms:W3CDTF">2026-07-06T22:04:00Z</dcterms:modified>
</cp:coreProperties>
</file>