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422F" w:rsidRPr="0093422F" w:rsidRDefault="0093422F" w:rsidP="0093422F">
      <w:pPr>
        <w:spacing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42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RESULTS</w:t>
      </w:r>
    </w:p>
    <w:p w:rsidR="0093422F" w:rsidRPr="0093422F" w:rsidRDefault="0093422F" w:rsidP="0093422F">
      <w:pPr>
        <w:spacing w:after="120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422F">
        <w:rPr>
          <w:rFonts w:ascii="Times New Roman" w:eastAsia="Times New Roman" w:hAnsi="Times New Roman" w:cs="Times New Roman"/>
          <w:b/>
          <w:bCs/>
          <w:sz w:val="24"/>
          <w:szCs w:val="24"/>
        </w:rPr>
        <w:t>Data Analysis</w:t>
      </w:r>
    </w:p>
    <w:p w:rsidR="0093422F" w:rsidRPr="0093422F" w:rsidRDefault="0093422F" w:rsidP="0093422F">
      <w:pPr>
        <w:spacing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22F">
        <w:rPr>
          <w:rFonts w:ascii="Times New Roman" w:eastAsia="Times New Roman" w:hAnsi="Times New Roman" w:cs="Times New Roman"/>
          <w:sz w:val="24"/>
          <w:szCs w:val="24"/>
        </w:rPr>
        <w:t xml:space="preserve">The data were analyzed using Python (pandas, </w:t>
      </w:r>
      <w:proofErr w:type="spellStart"/>
      <w:r w:rsidRPr="0093422F">
        <w:rPr>
          <w:rFonts w:ascii="Times New Roman" w:eastAsia="Times New Roman" w:hAnsi="Times New Roman" w:cs="Times New Roman"/>
          <w:sz w:val="24"/>
          <w:szCs w:val="24"/>
        </w:rPr>
        <w:t>scipy</w:t>
      </w:r>
      <w:proofErr w:type="spellEnd"/>
      <w:r w:rsidRPr="0093422F">
        <w:rPr>
          <w:rFonts w:ascii="Times New Roman" w:eastAsia="Times New Roman" w:hAnsi="Times New Roman" w:cs="Times New Roman"/>
          <w:sz w:val="24"/>
          <w:szCs w:val="24"/>
        </w:rPr>
        <w:t>). Descriptive analysis was performed to estimate frequencies and percentages. KAP scores were categorized as adequate/inadequate based on the Bloom cut-off of 60%. Associations between KAP and demographic variables were estimated using Pearson's Chi-square test. A p-value ≤0.05 was considered statistically significant.</w:t>
      </w:r>
    </w:p>
    <w:p w:rsidR="0093422F" w:rsidRPr="0093422F" w:rsidRDefault="0093422F" w:rsidP="0093422F">
      <w:pPr>
        <w:spacing w:after="120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422F">
        <w:rPr>
          <w:rFonts w:ascii="Times New Roman" w:eastAsia="Times New Roman" w:hAnsi="Times New Roman" w:cs="Times New Roman"/>
          <w:b/>
          <w:bCs/>
          <w:sz w:val="24"/>
          <w:szCs w:val="24"/>
        </w:rPr>
        <w:t>Demographics (Table 1)</w:t>
      </w:r>
    </w:p>
    <w:p w:rsidR="0093422F" w:rsidRPr="0093422F" w:rsidRDefault="0093422F" w:rsidP="0093422F">
      <w:pPr>
        <w:spacing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22F">
        <w:rPr>
          <w:rFonts w:ascii="Times New Roman" w:eastAsia="Times New Roman" w:hAnsi="Times New Roman" w:cs="Times New Roman"/>
          <w:sz w:val="24"/>
          <w:szCs w:val="24"/>
        </w:rPr>
        <w:t xml:space="preserve">A total of </w:t>
      </w:r>
      <w:r w:rsidRPr="0093422F">
        <w:rPr>
          <w:rFonts w:ascii="Times New Roman" w:eastAsia="Times New Roman" w:hAnsi="Times New Roman" w:cs="Times New Roman"/>
          <w:b/>
          <w:bCs/>
          <w:sz w:val="24"/>
          <w:szCs w:val="24"/>
        </w:rPr>
        <w:t>246</w:t>
      </w:r>
      <w:r w:rsidRPr="0093422F">
        <w:rPr>
          <w:rFonts w:ascii="Times New Roman" w:eastAsia="Times New Roman" w:hAnsi="Times New Roman" w:cs="Times New Roman"/>
          <w:sz w:val="24"/>
          <w:szCs w:val="24"/>
        </w:rPr>
        <w:t xml:space="preserve"> community members participated. The majority were female (154, 62.6%) and aged 21–25 years (136, 55.3%). Regarding education, most were graduates (99, 40.2%), followed by medical students (78, 31.7%). Only 108 (43.9%) had a medical background, and 97 (39.4%) had previously received health education about EPTB.</w:t>
      </w:r>
    </w:p>
    <w:p w:rsidR="0093422F" w:rsidRPr="0093422F" w:rsidRDefault="0093422F" w:rsidP="0093422F">
      <w:pPr>
        <w:spacing w:after="120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422F">
        <w:rPr>
          <w:rFonts w:ascii="Times New Roman" w:eastAsia="Times New Roman" w:hAnsi="Times New Roman" w:cs="Times New Roman"/>
          <w:b/>
          <w:bCs/>
          <w:sz w:val="24"/>
          <w:szCs w:val="24"/>
        </w:rPr>
        <w:t>Knowledge (Table 2 &amp; 6)</w:t>
      </w:r>
    </w:p>
    <w:p w:rsidR="0093422F" w:rsidRPr="0093422F" w:rsidRDefault="0093422F" w:rsidP="0093422F">
      <w:pPr>
        <w:spacing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22F">
        <w:rPr>
          <w:rFonts w:ascii="Times New Roman" w:eastAsia="Times New Roman" w:hAnsi="Times New Roman" w:cs="Times New Roman"/>
          <w:sz w:val="24"/>
          <w:szCs w:val="24"/>
        </w:rPr>
        <w:t xml:space="preserve">Of 246 participants, </w:t>
      </w:r>
      <w:r w:rsidRPr="0093422F">
        <w:rPr>
          <w:rFonts w:ascii="Times New Roman" w:eastAsia="Times New Roman" w:hAnsi="Times New Roman" w:cs="Times New Roman"/>
          <w:b/>
          <w:bCs/>
          <w:sz w:val="24"/>
          <w:szCs w:val="24"/>
        </w:rPr>
        <w:t>156 (63.4%)</w:t>
      </w:r>
      <w:r w:rsidRPr="0093422F">
        <w:rPr>
          <w:rFonts w:ascii="Times New Roman" w:eastAsia="Times New Roman" w:hAnsi="Times New Roman" w:cs="Times New Roman"/>
          <w:sz w:val="24"/>
          <w:szCs w:val="24"/>
        </w:rPr>
        <w:t xml:space="preserve"> had adequate knowledge about EPTB (≥60% correct answers). High proportions correctly identified that EPTB is curable (196, 79.7%), that completing the full treatment course is necessary (200, 81.3%), and that a bacterium causes TB (193, 78.5%). However, only 140 (56.9%) had ever heard of EPTB, and only 68 (27.6%) knew the cost of treatment.</w:t>
      </w:r>
    </w:p>
    <w:p w:rsidR="0093422F" w:rsidRPr="0093422F" w:rsidRDefault="0093422F" w:rsidP="0093422F">
      <w:pPr>
        <w:spacing w:after="120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422F">
        <w:rPr>
          <w:rFonts w:ascii="Times New Roman" w:eastAsia="Times New Roman" w:hAnsi="Times New Roman" w:cs="Times New Roman"/>
          <w:b/>
          <w:bCs/>
          <w:sz w:val="24"/>
          <w:szCs w:val="24"/>
        </w:rPr>
        <w:t>Attitude (Table 3 &amp; 6)</w:t>
      </w:r>
    </w:p>
    <w:p w:rsidR="0093422F" w:rsidRPr="0093422F" w:rsidRDefault="0093422F" w:rsidP="0093422F">
      <w:pPr>
        <w:spacing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22F">
        <w:rPr>
          <w:rFonts w:ascii="Times New Roman" w:eastAsia="Times New Roman" w:hAnsi="Times New Roman" w:cs="Times New Roman"/>
          <w:b/>
          <w:bCs/>
          <w:sz w:val="24"/>
          <w:szCs w:val="24"/>
        </w:rPr>
        <w:t>125 (50.8%)</w:t>
      </w:r>
      <w:r w:rsidRPr="0093422F">
        <w:rPr>
          <w:rFonts w:ascii="Times New Roman" w:eastAsia="Times New Roman" w:hAnsi="Times New Roman" w:cs="Times New Roman"/>
          <w:sz w:val="24"/>
          <w:szCs w:val="24"/>
        </w:rPr>
        <w:t xml:space="preserve"> of participants demonstrated a positive attitude toward EPTB. Most agreed EPTB is a serious health problem (194, 78.9%) and that health education prevents its spread (200, 81.3%). However, 165 (67.1%) said they would stay away from EPTB patients, and 129 (52.4%) would not allow their child to marry a cured EPTB patient, reflecting stigma.</w:t>
      </w:r>
    </w:p>
    <w:p w:rsidR="0093422F" w:rsidRPr="0093422F" w:rsidRDefault="0093422F" w:rsidP="0093422F">
      <w:pPr>
        <w:spacing w:after="120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422F">
        <w:rPr>
          <w:rFonts w:ascii="Times New Roman" w:eastAsia="Times New Roman" w:hAnsi="Times New Roman" w:cs="Times New Roman"/>
          <w:b/>
          <w:bCs/>
          <w:sz w:val="24"/>
          <w:szCs w:val="24"/>
        </w:rPr>
        <w:t>Practice (Table 4 &amp; 6)</w:t>
      </w:r>
    </w:p>
    <w:p w:rsidR="0093422F" w:rsidRDefault="0093422F" w:rsidP="0093422F">
      <w:pPr>
        <w:spacing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22F">
        <w:rPr>
          <w:rFonts w:ascii="Times New Roman" w:eastAsia="Times New Roman" w:hAnsi="Times New Roman" w:cs="Times New Roman"/>
          <w:b/>
          <w:bCs/>
          <w:sz w:val="24"/>
          <w:szCs w:val="24"/>
        </w:rPr>
        <w:t>184 (74.8%)</w:t>
      </w:r>
      <w:r w:rsidRPr="0093422F">
        <w:rPr>
          <w:rFonts w:ascii="Times New Roman" w:eastAsia="Times New Roman" w:hAnsi="Times New Roman" w:cs="Times New Roman"/>
          <w:sz w:val="24"/>
          <w:szCs w:val="24"/>
        </w:rPr>
        <w:t xml:space="preserve"> demonstrated good practice. Most participants reported covering their mouth during coughing (200, 81.3%), following hygiene measures (188, 76.4%), and willingness to visit a health facility if symptomatic (193, 78.5%). However, only 64 (26.0%) had ever been screened for EPTB.</w:t>
      </w:r>
    </w:p>
    <w:p w:rsidR="0093422F" w:rsidRPr="0093422F" w:rsidRDefault="0093422F" w:rsidP="0093422F">
      <w:pPr>
        <w:spacing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22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Chi-square Associations (Table 5)</w:t>
      </w:r>
    </w:p>
    <w:p w:rsidR="0093422F" w:rsidRPr="0093422F" w:rsidRDefault="0093422F" w:rsidP="0093422F">
      <w:pPr>
        <w:spacing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22F">
        <w:rPr>
          <w:rFonts w:ascii="Times New Roman" w:eastAsia="Times New Roman" w:hAnsi="Times New Roman" w:cs="Times New Roman"/>
          <w:sz w:val="24"/>
          <w:szCs w:val="24"/>
        </w:rPr>
        <w:t xml:space="preserve">Knowledge was significantly associated with </w:t>
      </w:r>
      <w:r w:rsidRPr="0093422F">
        <w:rPr>
          <w:rFonts w:ascii="Times New Roman" w:eastAsia="Times New Roman" w:hAnsi="Times New Roman" w:cs="Times New Roman"/>
          <w:b/>
          <w:bCs/>
          <w:sz w:val="24"/>
          <w:szCs w:val="24"/>
        </w:rPr>
        <w:t>age</w:t>
      </w:r>
      <w:r w:rsidRPr="0093422F">
        <w:rPr>
          <w:rFonts w:ascii="Times New Roman" w:eastAsia="Times New Roman" w:hAnsi="Times New Roman" w:cs="Times New Roman"/>
          <w:sz w:val="24"/>
          <w:szCs w:val="24"/>
        </w:rPr>
        <w:t xml:space="preserve"> (χ²=12.935, p=0.012), </w:t>
      </w:r>
      <w:r w:rsidRPr="0093422F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</w:t>
      </w:r>
      <w:r w:rsidRPr="0093422F">
        <w:rPr>
          <w:rFonts w:ascii="Times New Roman" w:eastAsia="Times New Roman" w:hAnsi="Times New Roman" w:cs="Times New Roman"/>
          <w:sz w:val="24"/>
          <w:szCs w:val="24"/>
        </w:rPr>
        <w:t xml:space="preserve"> (χ²=34.961, p&lt;0.001), and </w:t>
      </w:r>
      <w:r w:rsidRPr="0093422F">
        <w:rPr>
          <w:rFonts w:ascii="Times New Roman" w:eastAsia="Times New Roman" w:hAnsi="Times New Roman" w:cs="Times New Roman"/>
          <w:b/>
          <w:bCs/>
          <w:sz w:val="24"/>
          <w:szCs w:val="24"/>
        </w:rPr>
        <w:t>medical background</w:t>
      </w:r>
      <w:r w:rsidRPr="0093422F">
        <w:rPr>
          <w:rFonts w:ascii="Times New Roman" w:eastAsia="Times New Roman" w:hAnsi="Times New Roman" w:cs="Times New Roman"/>
          <w:sz w:val="24"/>
          <w:szCs w:val="24"/>
        </w:rPr>
        <w:t xml:space="preserve"> (χ²=13.035, p&lt;0.001), but not with gender (p=0.185). Attitude showed no significant association with any demographic variable. Practice was significantly associated with </w:t>
      </w:r>
      <w:r w:rsidRPr="0093422F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</w:t>
      </w:r>
      <w:r w:rsidRPr="0093422F">
        <w:rPr>
          <w:rFonts w:ascii="Times New Roman" w:eastAsia="Times New Roman" w:hAnsi="Times New Roman" w:cs="Times New Roman"/>
          <w:sz w:val="24"/>
          <w:szCs w:val="24"/>
        </w:rPr>
        <w:t xml:space="preserve"> (χ²=19.221, p=0.001) and </w:t>
      </w:r>
      <w:r w:rsidRPr="0093422F">
        <w:rPr>
          <w:rFonts w:ascii="Times New Roman" w:eastAsia="Times New Roman" w:hAnsi="Times New Roman" w:cs="Times New Roman"/>
          <w:b/>
          <w:bCs/>
          <w:sz w:val="24"/>
          <w:szCs w:val="24"/>
        </w:rPr>
        <w:t>medical background</w:t>
      </w:r>
      <w:r w:rsidRPr="0093422F">
        <w:rPr>
          <w:rFonts w:ascii="Times New Roman" w:eastAsia="Times New Roman" w:hAnsi="Times New Roman" w:cs="Times New Roman"/>
          <w:sz w:val="24"/>
          <w:szCs w:val="24"/>
        </w:rPr>
        <w:t xml:space="preserve"> (χ²=7.349, p=0.007).</w:t>
      </w:r>
    </w:p>
    <w:p w:rsidR="00B2581B" w:rsidRPr="0093422F" w:rsidRDefault="0093422F" w:rsidP="0093422F">
      <w:pPr>
        <w:spacing w:after="120" w:line="360" w:lineRule="auto"/>
        <w:rPr>
          <w:sz w:val="24"/>
          <w:szCs w:val="24"/>
        </w:rPr>
      </w:pPr>
      <w:bookmarkStart w:id="0" w:name="_GoBack"/>
      <w:bookmarkEnd w:id="0"/>
    </w:p>
    <w:sectPr w:rsidR="00B2581B" w:rsidRPr="009342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12B5"/>
    <w:rsid w:val="00157425"/>
    <w:rsid w:val="003277E0"/>
    <w:rsid w:val="00477844"/>
    <w:rsid w:val="004A25C1"/>
    <w:rsid w:val="007812B5"/>
    <w:rsid w:val="00787EBB"/>
    <w:rsid w:val="007A7C9E"/>
    <w:rsid w:val="0093422F"/>
    <w:rsid w:val="00AE5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342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3422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3422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3422F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font-claude-response-body">
    <w:name w:val="font-claude-response-body"/>
    <w:basedOn w:val="Normal"/>
    <w:rsid w:val="009342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3422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342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3422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3422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3422F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font-claude-response-body">
    <w:name w:val="font-claude-response-body"/>
    <w:basedOn w:val="Normal"/>
    <w:rsid w:val="009342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342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407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334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Inn</dc:creator>
  <cp:keywords/>
  <dc:description/>
  <cp:lastModifiedBy>Laptop Inn</cp:lastModifiedBy>
  <cp:revision>2</cp:revision>
  <dcterms:created xsi:type="dcterms:W3CDTF">2026-06-16T21:24:00Z</dcterms:created>
  <dcterms:modified xsi:type="dcterms:W3CDTF">2026-06-16T21:31:00Z</dcterms:modified>
</cp:coreProperties>
</file>