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91E8C" w14:textId="77777777" w:rsidR="00524368" w:rsidRDefault="00B43B11">
      <w:pPr>
        <w:jc w:val="center"/>
      </w:pPr>
      <w:r>
        <w:rPr>
          <w:b/>
          <w:color w:val="1F4E79"/>
          <w:sz w:val="32"/>
        </w:rPr>
        <w:t>S-CARD-CMSA: Participant Information and Method Description</w:t>
      </w:r>
    </w:p>
    <w:p w14:paraId="6275C257" w14:textId="77777777" w:rsidR="00524368" w:rsidRDefault="00B43B11">
      <w:pPr>
        <w:jc w:val="center"/>
      </w:pPr>
      <w:r>
        <w:rPr>
          <w:i/>
          <w:sz w:val="22"/>
        </w:rPr>
        <w:t>IEEE CEC 2026 Competition on Benchmarking Niching Methods for Multimodal Optimization</w:t>
      </w:r>
    </w:p>
    <w:p w14:paraId="5AAD6982" w14:textId="77777777" w:rsidR="00524368" w:rsidRDefault="00B43B11">
      <w:pPr>
        <w:jc w:val="center"/>
      </w:pPr>
      <w:r>
        <w:rPr>
          <w:sz w:val="20"/>
        </w:rPr>
        <w:t>Method report for final result submission</w:t>
      </w:r>
    </w:p>
    <w:p w14:paraId="49B57B44" w14:textId="77777777" w:rsidR="00524368" w:rsidRDefault="00B43B11">
      <w:pPr>
        <w:pStyle w:val="Heading1"/>
      </w:pPr>
      <w:r>
        <w:t>1. Participant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524368" w14:paraId="2EF4A13F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5246ADC7" w14:textId="77777777" w:rsidR="00524368" w:rsidRDefault="00B43B11">
            <w:r>
              <w:rPr>
                <w:b/>
                <w:color w:val="1F4E79"/>
                <w:sz w:val="18"/>
              </w:rPr>
              <w:t>Participant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7C858F78" w14:textId="77777777" w:rsidR="00524368" w:rsidRDefault="00B43B11">
            <w:r>
              <w:rPr>
                <w:b/>
                <w:color w:val="1F4E79"/>
                <w:sz w:val="18"/>
              </w:rPr>
              <w:t>Affiliation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ADDE92E" w14:textId="77777777" w:rsidR="00524368" w:rsidRDefault="00B43B11">
            <w:r>
              <w:rPr>
                <w:b/>
                <w:color w:val="1F4E79"/>
                <w:sz w:val="18"/>
              </w:rPr>
              <w:t>Country/Region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E47437C" w14:textId="77777777" w:rsidR="00524368" w:rsidRDefault="00B43B11">
            <w:r>
              <w:rPr>
                <w:b/>
                <w:color w:val="1F4E79"/>
                <w:sz w:val="18"/>
              </w:rPr>
              <w:t>Contact</w:t>
            </w:r>
          </w:p>
        </w:tc>
      </w:tr>
      <w:tr w:rsidR="00524368" w14:paraId="6F3E0EE8" w14:textId="77777777">
        <w:trPr>
          <w:jc w:val="center"/>
        </w:trPr>
        <w:tc>
          <w:tcPr>
            <w:tcW w:w="2520" w:type="dxa"/>
            <w:vAlign w:val="center"/>
          </w:tcPr>
          <w:p w14:paraId="79DAC660" w14:textId="77777777" w:rsidR="00524368" w:rsidRDefault="00B43B11">
            <w:r>
              <w:rPr>
                <w:sz w:val="18"/>
              </w:rPr>
              <w:t>Dikshit Chauhan</w:t>
            </w:r>
          </w:p>
        </w:tc>
        <w:tc>
          <w:tcPr>
            <w:tcW w:w="2520" w:type="dxa"/>
            <w:vAlign w:val="center"/>
          </w:tcPr>
          <w:p w14:paraId="58F93E92" w14:textId="77777777" w:rsidR="00524368" w:rsidRDefault="00B43B11">
            <w:r>
              <w:rPr>
                <w:sz w:val="18"/>
              </w:rPr>
              <w:t>Department of Electrical and Computer Engineering, National University of Singapore</w:t>
            </w:r>
          </w:p>
        </w:tc>
        <w:tc>
          <w:tcPr>
            <w:tcW w:w="2520" w:type="dxa"/>
            <w:vAlign w:val="center"/>
          </w:tcPr>
          <w:p w14:paraId="6CE23DE1" w14:textId="77777777" w:rsidR="00524368" w:rsidRDefault="00B43B11">
            <w:r>
              <w:rPr>
                <w:sz w:val="18"/>
              </w:rPr>
              <w:t>Singapore</w:t>
            </w:r>
          </w:p>
        </w:tc>
        <w:tc>
          <w:tcPr>
            <w:tcW w:w="2520" w:type="dxa"/>
            <w:vAlign w:val="center"/>
          </w:tcPr>
          <w:p w14:paraId="3E6CCE95" w14:textId="17DDD493" w:rsidR="00524368" w:rsidRDefault="00420F51">
            <w:hyperlink r:id="rId8" w:history="1">
              <w:r w:rsidRPr="0016148A">
                <w:rPr>
                  <w:rStyle w:val="Hyperlink"/>
                  <w:sz w:val="18"/>
                </w:rPr>
                <w:t>dikshitchauhan608@gmail.com</w:t>
              </w:r>
            </w:hyperlink>
            <w:r>
              <w:rPr>
                <w:sz w:val="18"/>
              </w:rPr>
              <w:t xml:space="preserve"> </w:t>
            </w:r>
          </w:p>
        </w:tc>
      </w:tr>
    </w:tbl>
    <w:p w14:paraId="3ACEBFE2" w14:textId="77777777" w:rsidR="00524368" w:rsidRDefault="00B43B11">
      <w:pPr>
        <w:pStyle w:val="Heading1"/>
      </w:pPr>
      <w:r>
        <w:t>2. Overview of the Used Method</w:t>
      </w:r>
    </w:p>
    <w:p w14:paraId="28A426A2" w14:textId="77777777" w:rsidR="00524368" w:rsidRDefault="00B43B11">
      <w:pPr>
        <w:spacing w:after="80"/>
      </w:pPr>
      <w:r>
        <w:t>The submitted method is S-CARD-CMSA, which denotes a Score-aware Candidate Archive with Density-filtered Reporting framework built on RS-CMSA-ESII. RS-CMSA-ESII is used as the base multimodal optimizer. The proposed method does not redesign the core optimizer; instead, it improves candidate retention and final reporting.</w:t>
      </w:r>
    </w:p>
    <w:p w14:paraId="3C6ACD0C" w14:textId="77777777" w:rsidR="00524368" w:rsidRDefault="00B43B11">
      <w:pPr>
        <w:spacing w:after="80"/>
      </w:pPr>
      <w:r>
        <w:t>The core RS-CMSA-ESII search components are kept unchanged, including sampling, covariance matrix adaptation, mutation-strength adaptation, taboo-region handling, restart logic, termination criteria, bound handling, and hill-valley-based archive checking. The modification is applied after and around restarts through a passive secondary candidate archive and a final score-aware density-filtered reporting rule.</w:t>
      </w:r>
    </w:p>
    <w:p w14:paraId="6849280A" w14:textId="77777777" w:rsidR="00524368" w:rsidRDefault="00B43B11">
      <w:pPr>
        <w:spacing w:after="80"/>
      </w:pPr>
      <w:r>
        <w:t>True global-minimum locations are not used during optimization, candidate selection, restart initialization, archive update, or final reporting. They were used only in offline development analysis for computing RPR, precision, F1-score, and score.</w:t>
      </w:r>
    </w:p>
    <w:p w14:paraId="5991E9F0" w14:textId="77777777" w:rsidR="00524368" w:rsidRDefault="00B43B11">
      <w:pPr>
        <w:pStyle w:val="Heading1"/>
      </w:pPr>
      <w:r>
        <w:t>3. Main Algorithmic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24368" w14:paraId="059791E1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DC88204" w14:textId="77777777" w:rsidR="00524368" w:rsidRDefault="00B43B11">
            <w:r>
              <w:rPr>
                <w:b/>
                <w:color w:val="1F4E79"/>
                <w:sz w:val="18"/>
              </w:rPr>
              <w:t>Component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2030A786" w14:textId="77777777" w:rsidR="00524368" w:rsidRDefault="00B43B11">
            <w:r>
              <w:rPr>
                <w:b/>
                <w:color w:val="1F4E79"/>
                <w:sz w:val="18"/>
              </w:rPr>
              <w:t>Description</w:t>
            </w:r>
          </w:p>
        </w:tc>
      </w:tr>
      <w:tr w:rsidR="00524368" w14:paraId="564A2E84" w14:textId="77777777">
        <w:trPr>
          <w:jc w:val="center"/>
        </w:trPr>
        <w:tc>
          <w:tcPr>
            <w:tcW w:w="5040" w:type="dxa"/>
            <w:vAlign w:val="center"/>
          </w:tcPr>
          <w:p w14:paraId="22C4222E" w14:textId="77777777" w:rsidR="00524368" w:rsidRDefault="00B43B11">
            <w:r>
              <w:rPr>
                <w:b/>
                <w:sz w:val="18"/>
              </w:rPr>
              <w:t>Base optimizer</w:t>
            </w:r>
          </w:p>
        </w:tc>
        <w:tc>
          <w:tcPr>
            <w:tcW w:w="5040" w:type="dxa"/>
            <w:vAlign w:val="center"/>
          </w:tcPr>
          <w:p w14:paraId="59601673" w14:textId="77777777" w:rsidR="00524368" w:rsidRDefault="00B43B11">
            <w:r>
              <w:rPr>
                <w:sz w:val="18"/>
              </w:rPr>
              <w:t>RS-CMSA-ESII is used as the search engine. Each restart evolves one covariance-adaptive subpopulation and updates the primary archive using the original archive and hill-valley checking logic.</w:t>
            </w:r>
          </w:p>
        </w:tc>
      </w:tr>
      <w:tr w:rsidR="00524368" w14:paraId="1831867B" w14:textId="77777777">
        <w:trPr>
          <w:jc w:val="center"/>
        </w:trPr>
        <w:tc>
          <w:tcPr>
            <w:tcW w:w="5040" w:type="dxa"/>
            <w:vAlign w:val="center"/>
          </w:tcPr>
          <w:p w14:paraId="76E757A4" w14:textId="77777777" w:rsidR="00524368" w:rsidRDefault="00B43B11">
            <w:r>
              <w:rPr>
                <w:b/>
                <w:sz w:val="18"/>
              </w:rPr>
              <w:t>Primary archive</w:t>
            </w:r>
          </w:p>
        </w:tc>
        <w:tc>
          <w:tcPr>
            <w:tcW w:w="5040" w:type="dxa"/>
            <w:vAlign w:val="center"/>
          </w:tcPr>
          <w:p w14:paraId="241A18AE" w14:textId="77777777" w:rsidR="00524368" w:rsidRDefault="00B43B11">
            <w:r>
              <w:rPr>
                <w:sz w:val="18"/>
              </w:rPr>
              <w:t>The original RS-CMSA-ESII primary archive is preserved. Primary-archive candidates are treated as high-confidence candidates during final reporting.</w:t>
            </w:r>
          </w:p>
        </w:tc>
      </w:tr>
      <w:tr w:rsidR="00524368" w14:paraId="7C2ECA1F" w14:textId="77777777">
        <w:trPr>
          <w:jc w:val="center"/>
        </w:trPr>
        <w:tc>
          <w:tcPr>
            <w:tcW w:w="5040" w:type="dxa"/>
            <w:vAlign w:val="center"/>
          </w:tcPr>
          <w:p w14:paraId="3F00EA29" w14:textId="77777777" w:rsidR="00524368" w:rsidRDefault="00B43B11">
            <w:r>
              <w:rPr>
                <w:b/>
                <w:sz w:val="18"/>
              </w:rPr>
              <w:t>Passive secondary candidate archive</w:t>
            </w:r>
          </w:p>
        </w:tc>
        <w:tc>
          <w:tcPr>
            <w:tcW w:w="5040" w:type="dxa"/>
            <w:vAlign w:val="center"/>
          </w:tcPr>
          <w:p w14:paraId="2123F9B1" w14:textId="77777777" w:rsidR="00524368" w:rsidRDefault="00B43B11">
            <w:r>
              <w:rPr>
                <w:sz w:val="18"/>
              </w:rPr>
              <w:t>At the end of each restart, the restart-best candidate and its objective value are stored in a secondary archive. This archive is passive: it does not define taboo regions, modify sampling, change covariance adaptation, or affect restart decisions.</w:t>
            </w:r>
          </w:p>
        </w:tc>
      </w:tr>
      <w:tr w:rsidR="00524368" w14:paraId="5178575E" w14:textId="77777777">
        <w:trPr>
          <w:jc w:val="center"/>
        </w:trPr>
        <w:tc>
          <w:tcPr>
            <w:tcW w:w="5040" w:type="dxa"/>
            <w:vAlign w:val="center"/>
          </w:tcPr>
          <w:p w14:paraId="2A0D0AC3" w14:textId="77777777" w:rsidR="00524368" w:rsidRDefault="00B43B11">
            <w:r>
              <w:rPr>
                <w:b/>
                <w:sz w:val="18"/>
              </w:rPr>
              <w:t>Candidate pool</w:t>
            </w:r>
          </w:p>
        </w:tc>
        <w:tc>
          <w:tcPr>
            <w:tcW w:w="5040" w:type="dxa"/>
            <w:vAlign w:val="center"/>
          </w:tcPr>
          <w:p w14:paraId="5162AC49" w14:textId="77777777" w:rsidR="00524368" w:rsidRDefault="00B43B11">
            <w:r>
              <w:rPr>
                <w:sz w:val="18"/>
              </w:rPr>
              <w:t>Before final reporting, invalid or non-finite secondary candidates are removed. The final candidate pool is formed from the union of the primary archive and the feasible secondary archive.</w:t>
            </w:r>
          </w:p>
        </w:tc>
      </w:tr>
      <w:tr w:rsidR="00524368" w14:paraId="1EFD996D" w14:textId="77777777">
        <w:trPr>
          <w:jc w:val="center"/>
        </w:trPr>
        <w:tc>
          <w:tcPr>
            <w:tcW w:w="5040" w:type="dxa"/>
            <w:vAlign w:val="center"/>
          </w:tcPr>
          <w:p w14:paraId="10BC8BBD" w14:textId="77777777" w:rsidR="00524368" w:rsidRDefault="00B43B11">
            <w:r>
              <w:rPr>
                <w:b/>
                <w:sz w:val="18"/>
              </w:rPr>
              <w:t>Density-filtered reporting</w:t>
            </w:r>
          </w:p>
        </w:tc>
        <w:tc>
          <w:tcPr>
            <w:tcW w:w="5040" w:type="dxa"/>
            <w:vAlign w:val="center"/>
          </w:tcPr>
          <w:p w14:paraId="2C499C4A" w14:textId="77777777" w:rsidR="00524368" w:rsidRDefault="00B43B11">
            <w:r>
              <w:rPr>
                <w:sz w:val="18"/>
              </w:rPr>
              <w:t>Primary archive candidates are inserted first. Secondary candidates are then considered in ascending objective value and are retained only if sufficiently separated from the current reported set. If a secondary candidate is close to an existing reported candidate, the better objective-value representative is retained without removing protected primary candidates.</w:t>
            </w:r>
          </w:p>
        </w:tc>
      </w:tr>
    </w:tbl>
    <w:p w14:paraId="01F3BC93" w14:textId="77777777" w:rsidR="00524368" w:rsidRDefault="00B43B11">
      <w:pPr>
        <w:pStyle w:val="Heading1"/>
      </w:pPr>
      <w:r>
        <w:t>4. Final Reporting Rule</w:t>
      </w:r>
    </w:p>
    <w:p w14:paraId="7E95FBEF" w14:textId="79E0EA31" w:rsidR="00524368" w:rsidRDefault="00B43B11">
      <w:r>
        <w:t xml:space="preserve">Let A denote the primary archive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 xml:space="preserve"> denote the feasible secondary archive. The final candidate pool is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 xml:space="preserve"> = 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 xml:space="preserve"> ∪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t>. Candidate similarity is measured using normalized Euclidean distance,</w:t>
      </w:r>
    </w:p>
    <w:p w14:paraId="5AEF0A4B" w14:textId="70752068" w:rsidR="00524368" w:rsidRPr="00420F51" w:rsidRDefault="00420F51">
      <w:pPr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w:lastRenderedPageBreak/>
            <m:t>d_norm(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 = || 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-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) / (u - l)  |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1F6AC36D" w14:textId="54075DAA" w:rsidR="00524368" w:rsidRPr="00420F51" w:rsidRDefault="00420F51">
      <w:pPr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 min_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y∈ R</m:t>
              </m:r>
            </m:e>
          </m:d>
          <m:r>
            <w:rPr>
              <w:rFonts w:ascii="Cambria Math" w:hAnsi="Cambria Math"/>
            </w:rPr>
            <m:t xml:space="preserve"> d_norm(x, y)</m:t>
          </m:r>
        </m:oMath>
      </m:oMathPara>
    </w:p>
    <w:p w14:paraId="5DD800D1" w14:textId="2538CC09" w:rsidR="00524368" w:rsidRPr="00420F51" w:rsidRDefault="00420F51">
      <w:pPr>
        <w:jc w:val="center"/>
        <w:rPr>
          <w:rFonts w:ascii="Cambria Math" w:hAnsi="Cambria Math"/>
          <w:oMath/>
        </w:rPr>
      </w:pPr>
      <m:oMathPara>
        <m:oMath>
          <m:r>
            <w:rPr>
              <w:rFonts w:ascii="Cambria Math" w:hAnsi="Cambria Math"/>
            </w:rPr>
            <m:t>insert x into R if  ρ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≥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(D)</m:t>
          </m:r>
        </m:oMath>
      </m:oMathPara>
    </w:p>
    <w:p w14:paraId="42A4320F" w14:textId="6E47DE34" w:rsidR="00524368" w:rsidRPr="00420F51" w:rsidRDefault="00B43B11">
      <w:pPr>
        <w:jc w:val="center"/>
        <w:rPr>
          <w:rFonts w:ascii="Cambria Math" w:hAnsi="Cambria Math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>(D)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ρ</m:t>
              </m:r>
            </m:sub>
          </m:sSub>
          <m:r>
            <w:rPr>
              <w:rFonts w:ascii="Cambria Math" w:hAnsi="Cambria Math"/>
            </w:rPr>
            <m:t xml:space="preserve">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D</m:t>
              </m:r>
            </m:e>
          </m:rad>
        </m:oMath>
      </m:oMathPara>
    </w:p>
    <w:p w14:paraId="30214503" w14:textId="54A7EF8E" w:rsidR="00524368" w:rsidRDefault="00B43B11">
      <w:r>
        <w:t xml:space="preserve">Here, </w:t>
      </w:r>
      <m:oMath>
        <m:r>
          <w:rPr>
            <w:rFonts w:ascii="Cambria Math" w:hAnsi="Cambria Math"/>
          </w:rPr>
          <m:t>u</m:t>
        </m:r>
      </m:oMath>
      <w:r>
        <w:t xml:space="preserve"> and </w:t>
      </w:r>
      <m:oMath>
        <m:r>
          <w:rPr>
            <w:rFonts w:ascii="Cambria Math" w:hAnsi="Cambria Math"/>
          </w:rPr>
          <m:t>l</m:t>
        </m:r>
      </m:oMath>
      <w:r>
        <w:t xml:space="preserve"> are the upper and lower bounds, </w:t>
      </w:r>
      <m:oMath>
        <m:r>
          <w:rPr>
            <w:rFonts w:ascii="Cambria Math" w:hAnsi="Cambria Math"/>
          </w:rPr>
          <m:t>R</m:t>
        </m:r>
      </m:oMath>
      <w:r>
        <w:t xml:space="preserve"> is the current reported set,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>
        <w:t xml:space="preserve">(D) is the dimension-scaled density threshold,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</m:oMath>
      <w:r>
        <w:t xml:space="preserve"> is the fixed density-filtering coefficient. The selected setting uses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 xml:space="preserve"> = 2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-3</m:t>
        </m:r>
      </m:oMath>
      <w:r>
        <w:t xml:space="preserve"> and </w:t>
      </w:r>
      <m:oMath>
        <m:r>
          <w:rPr>
            <w:rFonts w:ascii="Cambria Math" w:hAnsi="Cambria Math"/>
          </w:rPr>
          <m:t xml:space="preserve">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ρ</m:t>
            </m:r>
          </m:sub>
        </m:sSub>
        <m:r>
          <w:rPr>
            <w:rFonts w:ascii="Cambria Math" w:hAnsi="Cambria Math"/>
          </w:rPr>
          <m:t>= 2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 xml:space="preserve">-3 </m:t>
        </m:r>
      </m:oMath>
      <w:r>
        <w:t>for all problems, instances, and dimensions.</w:t>
      </w:r>
    </w:p>
    <w:p w14:paraId="07615C95" w14:textId="77777777" w:rsidR="00524368" w:rsidRDefault="00B43B11">
      <w:pPr>
        <w:pStyle w:val="Heading1"/>
      </w:pPr>
      <w:r>
        <w:t>5. Parameter Setting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24368" w14:paraId="610D9B5C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3D298776" w14:textId="77777777" w:rsidR="00524368" w:rsidRDefault="00B43B11">
            <w:r>
              <w:rPr>
                <w:b/>
                <w:color w:val="1F4E79"/>
                <w:sz w:val="18"/>
              </w:rPr>
              <w:t>Parameter / Setting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7D3E90B5" w14:textId="77777777" w:rsidR="00524368" w:rsidRDefault="00B43B11">
            <w:r>
              <w:rPr>
                <w:b/>
                <w:color w:val="1F4E79"/>
                <w:sz w:val="18"/>
              </w:rPr>
              <w:t>Value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4425D99" w14:textId="77777777" w:rsidR="00524368" w:rsidRDefault="00B43B11">
            <w:r>
              <w:rPr>
                <w:b/>
                <w:color w:val="1F4E79"/>
                <w:sz w:val="18"/>
              </w:rPr>
              <w:t>Purpose / Comment</w:t>
            </w:r>
          </w:p>
        </w:tc>
      </w:tr>
      <w:tr w:rsidR="00524368" w14:paraId="7CBD7EBD" w14:textId="77777777">
        <w:trPr>
          <w:jc w:val="center"/>
        </w:trPr>
        <w:tc>
          <w:tcPr>
            <w:tcW w:w="3360" w:type="dxa"/>
            <w:vAlign w:val="center"/>
          </w:tcPr>
          <w:p w14:paraId="620DFE06" w14:textId="77777777" w:rsidR="00524368" w:rsidRDefault="00B43B11">
            <w:r>
              <w:rPr>
                <w:b/>
                <w:sz w:val="18"/>
              </w:rPr>
              <w:t>Benchmark cases</w:t>
            </w:r>
          </w:p>
        </w:tc>
        <w:tc>
          <w:tcPr>
            <w:tcW w:w="3360" w:type="dxa"/>
            <w:vAlign w:val="center"/>
          </w:tcPr>
          <w:p w14:paraId="4DD711B5" w14:textId="77777777" w:rsidR="00524368" w:rsidRDefault="00B43B11">
            <w:r>
              <w:rPr>
                <w:sz w:val="18"/>
              </w:rPr>
              <w:t>PID = 1,...,16; PIN = 1,...,15; D in {2, 5, 10, 20}</w:t>
            </w:r>
          </w:p>
        </w:tc>
        <w:tc>
          <w:tcPr>
            <w:tcW w:w="3360" w:type="dxa"/>
            <w:vAlign w:val="center"/>
          </w:tcPr>
          <w:p w14:paraId="4ECF2B50" w14:textId="77777777" w:rsidR="00524368" w:rsidRDefault="00B43B11">
            <w:r>
              <w:rPr>
                <w:sz w:val="18"/>
              </w:rPr>
              <w:t>Official CEC 2026 setup</w:t>
            </w:r>
          </w:p>
        </w:tc>
      </w:tr>
      <w:tr w:rsidR="00524368" w14:paraId="17F4C6D5" w14:textId="77777777">
        <w:trPr>
          <w:jc w:val="center"/>
        </w:trPr>
        <w:tc>
          <w:tcPr>
            <w:tcW w:w="3360" w:type="dxa"/>
            <w:vAlign w:val="center"/>
          </w:tcPr>
          <w:p w14:paraId="0CB42155" w14:textId="77777777" w:rsidR="00524368" w:rsidRDefault="00B43B11">
            <w:r>
              <w:rPr>
                <w:b/>
                <w:sz w:val="18"/>
              </w:rPr>
              <w:t>Function-evaluation budget</w:t>
            </w:r>
          </w:p>
        </w:tc>
        <w:tc>
          <w:tcPr>
            <w:tcW w:w="3360" w:type="dxa"/>
            <w:vAlign w:val="center"/>
          </w:tcPr>
          <w:p w14:paraId="756F7957" w14:textId="77777777" w:rsidR="00524368" w:rsidRDefault="00B43B11">
            <w:r>
              <w:rPr>
                <w:sz w:val="18"/>
              </w:rPr>
              <w:t>FE_max = 20,000 D</w:t>
            </w:r>
          </w:p>
        </w:tc>
        <w:tc>
          <w:tcPr>
            <w:tcW w:w="3360" w:type="dxa"/>
            <w:vAlign w:val="center"/>
          </w:tcPr>
          <w:p w14:paraId="508EF90A" w14:textId="77777777" w:rsidR="00524368" w:rsidRDefault="00B43B11">
            <w:r>
              <w:rPr>
                <w:sz w:val="18"/>
              </w:rPr>
              <w:t>Official competition budget</w:t>
            </w:r>
          </w:p>
        </w:tc>
      </w:tr>
      <w:tr w:rsidR="00524368" w14:paraId="6DCDBED8" w14:textId="77777777">
        <w:trPr>
          <w:jc w:val="center"/>
        </w:trPr>
        <w:tc>
          <w:tcPr>
            <w:tcW w:w="3360" w:type="dxa"/>
            <w:vAlign w:val="center"/>
          </w:tcPr>
          <w:p w14:paraId="247C96D2" w14:textId="77777777" w:rsidR="00524368" w:rsidRDefault="00B43B11">
            <w:r>
              <w:rPr>
                <w:b/>
                <w:sz w:val="18"/>
              </w:rPr>
              <w:t>Base optimizer</w:t>
            </w:r>
          </w:p>
        </w:tc>
        <w:tc>
          <w:tcPr>
            <w:tcW w:w="3360" w:type="dxa"/>
            <w:vAlign w:val="center"/>
          </w:tcPr>
          <w:p w14:paraId="5AB2CE07" w14:textId="77777777" w:rsidR="00524368" w:rsidRDefault="00B43B11">
            <w:r>
              <w:rPr>
                <w:sz w:val="18"/>
              </w:rPr>
              <w:t>RS-CMSA-ESII</w:t>
            </w:r>
          </w:p>
        </w:tc>
        <w:tc>
          <w:tcPr>
            <w:tcW w:w="3360" w:type="dxa"/>
            <w:vAlign w:val="center"/>
          </w:tcPr>
          <w:p w14:paraId="1896D749" w14:textId="77777777" w:rsidR="00524368" w:rsidRDefault="00B43B11">
            <w:r>
              <w:rPr>
                <w:sz w:val="18"/>
              </w:rPr>
              <w:t>Original search engine retained</w:t>
            </w:r>
          </w:p>
        </w:tc>
      </w:tr>
      <w:tr w:rsidR="00524368" w14:paraId="47442725" w14:textId="77777777">
        <w:trPr>
          <w:jc w:val="center"/>
        </w:trPr>
        <w:tc>
          <w:tcPr>
            <w:tcW w:w="3360" w:type="dxa"/>
            <w:vAlign w:val="center"/>
          </w:tcPr>
          <w:p w14:paraId="091F4E92" w14:textId="77777777" w:rsidR="00524368" w:rsidRDefault="00B43B11">
            <w:r>
              <w:rPr>
                <w:b/>
                <w:sz w:val="18"/>
              </w:rPr>
              <w:t>Core RS-CMSA-ESII parameters</w:t>
            </w:r>
          </w:p>
        </w:tc>
        <w:tc>
          <w:tcPr>
            <w:tcW w:w="3360" w:type="dxa"/>
            <w:vAlign w:val="center"/>
          </w:tcPr>
          <w:p w14:paraId="1115F24F" w14:textId="77777777" w:rsidR="00524368" w:rsidRDefault="00B43B11">
            <w:r>
              <w:rPr>
                <w:sz w:val="18"/>
              </w:rPr>
              <w:t>Unchanged from the base implementation</w:t>
            </w:r>
          </w:p>
        </w:tc>
        <w:tc>
          <w:tcPr>
            <w:tcW w:w="3360" w:type="dxa"/>
            <w:vAlign w:val="center"/>
          </w:tcPr>
          <w:p w14:paraId="11FD8E2E" w14:textId="77777777" w:rsidR="00524368" w:rsidRDefault="00B43B11">
            <w:r>
              <w:rPr>
                <w:sz w:val="18"/>
              </w:rPr>
              <w:t>No retuning of sampling, covariance adaptation, taboo update, restart logic, or termination</w:t>
            </w:r>
          </w:p>
        </w:tc>
      </w:tr>
      <w:tr w:rsidR="00524368" w14:paraId="2C843F34" w14:textId="77777777">
        <w:trPr>
          <w:jc w:val="center"/>
        </w:trPr>
        <w:tc>
          <w:tcPr>
            <w:tcW w:w="3360" w:type="dxa"/>
            <w:vAlign w:val="center"/>
          </w:tcPr>
          <w:p w14:paraId="1C9E8545" w14:textId="77777777" w:rsidR="00524368" w:rsidRDefault="00B43B11">
            <w:r>
              <w:rPr>
                <w:b/>
                <w:sz w:val="18"/>
              </w:rPr>
              <w:t>Secondary archive</w:t>
            </w:r>
          </w:p>
        </w:tc>
        <w:tc>
          <w:tcPr>
            <w:tcW w:w="3360" w:type="dxa"/>
            <w:vAlign w:val="center"/>
          </w:tcPr>
          <w:p w14:paraId="086B5ED8" w14:textId="77777777" w:rsidR="00524368" w:rsidRDefault="00B43B11">
            <w:r>
              <w:rPr>
                <w:sz w:val="18"/>
              </w:rPr>
              <w:t>Enabled</w:t>
            </w:r>
          </w:p>
        </w:tc>
        <w:tc>
          <w:tcPr>
            <w:tcW w:w="3360" w:type="dxa"/>
            <w:vAlign w:val="center"/>
          </w:tcPr>
          <w:p w14:paraId="1A222F7B" w14:textId="77777777" w:rsidR="00524368" w:rsidRDefault="00B43B11">
            <w:r>
              <w:rPr>
                <w:sz w:val="18"/>
              </w:rPr>
              <w:t>Stores restart-best candidate and objective value from each restart</w:t>
            </w:r>
          </w:p>
        </w:tc>
      </w:tr>
      <w:tr w:rsidR="00524368" w14:paraId="3377EF9E" w14:textId="77777777">
        <w:trPr>
          <w:jc w:val="center"/>
        </w:trPr>
        <w:tc>
          <w:tcPr>
            <w:tcW w:w="3360" w:type="dxa"/>
            <w:vAlign w:val="center"/>
          </w:tcPr>
          <w:p w14:paraId="6879663C" w14:textId="77777777" w:rsidR="00524368" w:rsidRDefault="00B43B11">
            <w:r>
              <w:rPr>
                <w:b/>
                <w:sz w:val="18"/>
              </w:rPr>
              <w:t>Secondary archive influence</w:t>
            </w:r>
          </w:p>
        </w:tc>
        <w:tc>
          <w:tcPr>
            <w:tcW w:w="3360" w:type="dxa"/>
            <w:vAlign w:val="center"/>
          </w:tcPr>
          <w:p w14:paraId="1453FC6B" w14:textId="77777777" w:rsidR="00524368" w:rsidRDefault="00B43B11">
            <w:r>
              <w:rPr>
                <w:sz w:val="18"/>
              </w:rPr>
              <w:t>Passive only</w:t>
            </w:r>
          </w:p>
        </w:tc>
        <w:tc>
          <w:tcPr>
            <w:tcW w:w="3360" w:type="dxa"/>
            <w:vAlign w:val="center"/>
          </w:tcPr>
          <w:p w14:paraId="75074892" w14:textId="77777777" w:rsidR="00524368" w:rsidRDefault="00B43B11">
            <w:r>
              <w:rPr>
                <w:sz w:val="18"/>
              </w:rPr>
              <w:t>Does not influence search trajectory or taboo regions</w:t>
            </w:r>
          </w:p>
        </w:tc>
      </w:tr>
      <w:tr w:rsidR="00524368" w14:paraId="30386453" w14:textId="77777777">
        <w:trPr>
          <w:jc w:val="center"/>
        </w:trPr>
        <w:tc>
          <w:tcPr>
            <w:tcW w:w="3360" w:type="dxa"/>
            <w:vAlign w:val="center"/>
          </w:tcPr>
          <w:p w14:paraId="1B304D81" w14:textId="77777777" w:rsidR="00524368" w:rsidRDefault="00B43B11">
            <w:r>
              <w:rPr>
                <w:b/>
                <w:sz w:val="18"/>
              </w:rPr>
              <w:t>Candidate value window</w:t>
            </w:r>
          </w:p>
        </w:tc>
        <w:tc>
          <w:tcPr>
            <w:tcW w:w="3360" w:type="dxa"/>
            <w:vAlign w:val="center"/>
          </w:tcPr>
          <w:p w14:paraId="2719FDD2" w14:textId="3AEE44A8" w:rsidR="00524368" w:rsidRDefault="00B43B1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Δ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  <m:r>
                  <w:rPr>
                    <w:rFonts w:ascii="Cambria Math" w:hAnsi="Cambria Math"/>
                    <w:sz w:val="18"/>
                  </w:rPr>
                  <m:t xml:space="preserve"> = 2e-3</m:t>
                </m:r>
              </m:oMath>
            </m:oMathPara>
          </w:p>
        </w:tc>
        <w:tc>
          <w:tcPr>
            <w:tcW w:w="3360" w:type="dxa"/>
            <w:vAlign w:val="center"/>
          </w:tcPr>
          <w:p w14:paraId="2B2B1E5B" w14:textId="77777777" w:rsidR="00524368" w:rsidRDefault="00B43B11">
            <w:r>
              <w:rPr>
                <w:sz w:val="18"/>
              </w:rPr>
              <w:t>Filters clearly inferior secondary candidates</w:t>
            </w:r>
          </w:p>
        </w:tc>
      </w:tr>
      <w:tr w:rsidR="00524368" w14:paraId="0BD7927C" w14:textId="77777777">
        <w:trPr>
          <w:jc w:val="center"/>
        </w:trPr>
        <w:tc>
          <w:tcPr>
            <w:tcW w:w="3360" w:type="dxa"/>
            <w:vAlign w:val="center"/>
          </w:tcPr>
          <w:p w14:paraId="7E6D80C4" w14:textId="77777777" w:rsidR="00524368" w:rsidRDefault="00B43B11">
            <w:r>
              <w:rPr>
                <w:b/>
                <w:sz w:val="18"/>
              </w:rPr>
              <w:t>Density coefficient</w:t>
            </w:r>
          </w:p>
        </w:tc>
        <w:tc>
          <w:tcPr>
            <w:tcW w:w="3360" w:type="dxa"/>
            <w:vAlign w:val="center"/>
          </w:tcPr>
          <w:p w14:paraId="49F1DD62" w14:textId="6D67946F" w:rsidR="00524368" w:rsidRDefault="00B43B1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ρ</m:t>
                    </m:r>
                  </m:sub>
                </m:sSub>
                <m:r>
                  <w:rPr>
                    <w:rFonts w:ascii="Cambria Math" w:hAnsi="Cambria Math"/>
                  </w:rPr>
                  <m:t>= 2e-3</m:t>
                </m:r>
              </m:oMath>
            </m:oMathPara>
          </w:p>
        </w:tc>
        <w:tc>
          <w:tcPr>
            <w:tcW w:w="3360" w:type="dxa"/>
            <w:vAlign w:val="center"/>
          </w:tcPr>
          <w:p w14:paraId="5EC6CDF1" w14:textId="77777777" w:rsidR="00524368" w:rsidRDefault="00B43B11">
            <w:r>
              <w:rPr>
                <w:sz w:val="18"/>
              </w:rPr>
              <w:t>Selected balanced density-filtering coefficient</w:t>
            </w:r>
          </w:p>
        </w:tc>
      </w:tr>
      <w:tr w:rsidR="00524368" w14:paraId="5FCE154E" w14:textId="77777777">
        <w:trPr>
          <w:jc w:val="center"/>
        </w:trPr>
        <w:tc>
          <w:tcPr>
            <w:tcW w:w="3360" w:type="dxa"/>
            <w:vAlign w:val="center"/>
          </w:tcPr>
          <w:p w14:paraId="681B6328" w14:textId="77777777" w:rsidR="00524368" w:rsidRDefault="00B43B11">
            <w:r>
              <w:rPr>
                <w:b/>
                <w:sz w:val="18"/>
              </w:rPr>
              <w:t>Density threshold</w:t>
            </w:r>
          </w:p>
        </w:tc>
        <w:tc>
          <w:tcPr>
            <w:tcW w:w="3360" w:type="dxa"/>
            <w:vAlign w:val="center"/>
          </w:tcPr>
          <w:p w14:paraId="7DB7D3A3" w14:textId="5FC05FA6" w:rsidR="00524368" w:rsidRPr="00420F51" w:rsidRDefault="00B43B11" w:rsidP="00420F51">
            <w:pPr>
              <w:jc w:val="center"/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ρ</m:t>
                    </m:r>
                  </m:sub>
                </m:sSub>
                <m:r>
                  <w:rPr>
                    <w:rFonts w:ascii="Cambria Math" w:hAnsi="Cambria Math"/>
                  </w:rPr>
                  <m:t>(D) 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ρ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</m:rad>
              </m:oMath>
            </m:oMathPara>
          </w:p>
        </w:tc>
        <w:tc>
          <w:tcPr>
            <w:tcW w:w="3360" w:type="dxa"/>
            <w:vAlign w:val="center"/>
          </w:tcPr>
          <w:p w14:paraId="103F19D1" w14:textId="77777777" w:rsidR="00524368" w:rsidRDefault="00B43B11">
            <w:r>
              <w:rPr>
                <w:sz w:val="18"/>
              </w:rPr>
              <w:t>Dimension-scaled duplicate-control threshold</w:t>
            </w:r>
          </w:p>
        </w:tc>
      </w:tr>
      <w:tr w:rsidR="00524368" w14:paraId="29DE2656" w14:textId="77777777">
        <w:trPr>
          <w:jc w:val="center"/>
        </w:trPr>
        <w:tc>
          <w:tcPr>
            <w:tcW w:w="3360" w:type="dxa"/>
            <w:vAlign w:val="center"/>
          </w:tcPr>
          <w:p w14:paraId="00143BE3" w14:textId="77777777" w:rsidR="00524368" w:rsidRDefault="00B43B11">
            <w:r>
              <w:rPr>
                <w:b/>
                <w:sz w:val="18"/>
              </w:rPr>
              <w:t>Distance metric</w:t>
            </w:r>
          </w:p>
        </w:tc>
        <w:tc>
          <w:tcPr>
            <w:tcW w:w="3360" w:type="dxa"/>
            <w:vAlign w:val="center"/>
          </w:tcPr>
          <w:p w14:paraId="234A322F" w14:textId="77777777" w:rsidR="00524368" w:rsidRDefault="00B43B11">
            <w:r>
              <w:rPr>
                <w:sz w:val="18"/>
              </w:rPr>
              <w:t>Normalized Euclidean distance</w:t>
            </w:r>
          </w:p>
        </w:tc>
        <w:tc>
          <w:tcPr>
            <w:tcW w:w="3360" w:type="dxa"/>
            <w:vAlign w:val="center"/>
          </w:tcPr>
          <w:p w14:paraId="7073E9D3" w14:textId="77777777" w:rsidR="00524368" w:rsidRDefault="00B43B11">
            <w:r>
              <w:rPr>
                <w:sz w:val="18"/>
              </w:rPr>
              <w:t>Uses search-space bounds for scale normalization</w:t>
            </w:r>
          </w:p>
        </w:tc>
      </w:tr>
      <w:tr w:rsidR="00524368" w14:paraId="7CB7AA61" w14:textId="77777777">
        <w:trPr>
          <w:jc w:val="center"/>
        </w:trPr>
        <w:tc>
          <w:tcPr>
            <w:tcW w:w="3360" w:type="dxa"/>
            <w:vAlign w:val="center"/>
          </w:tcPr>
          <w:p w14:paraId="4A716D42" w14:textId="77777777" w:rsidR="00524368" w:rsidRDefault="00B43B11">
            <w:r>
              <w:rPr>
                <w:b/>
                <w:sz w:val="18"/>
              </w:rPr>
              <w:t>Primary archive protection</w:t>
            </w:r>
          </w:p>
        </w:tc>
        <w:tc>
          <w:tcPr>
            <w:tcW w:w="3360" w:type="dxa"/>
            <w:vAlign w:val="center"/>
          </w:tcPr>
          <w:p w14:paraId="7C7969C5" w14:textId="77777777" w:rsidR="00524368" w:rsidRDefault="00B43B11">
            <w:r>
              <w:rPr>
                <w:sz w:val="18"/>
              </w:rPr>
              <w:t>Enabled</w:t>
            </w:r>
          </w:p>
        </w:tc>
        <w:tc>
          <w:tcPr>
            <w:tcW w:w="3360" w:type="dxa"/>
            <w:vAlign w:val="center"/>
          </w:tcPr>
          <w:p w14:paraId="58DBA0E1" w14:textId="77777777" w:rsidR="00524368" w:rsidRDefault="00B43B11">
            <w:r>
              <w:rPr>
                <w:sz w:val="18"/>
              </w:rPr>
              <w:t>Secondary candidates do not remove protected primary candidates</w:t>
            </w:r>
          </w:p>
        </w:tc>
      </w:tr>
      <w:tr w:rsidR="00524368" w14:paraId="3AEE111A" w14:textId="77777777">
        <w:trPr>
          <w:jc w:val="center"/>
        </w:trPr>
        <w:tc>
          <w:tcPr>
            <w:tcW w:w="3360" w:type="dxa"/>
            <w:vAlign w:val="center"/>
          </w:tcPr>
          <w:p w14:paraId="2D1058DB" w14:textId="77777777" w:rsidR="00524368" w:rsidRDefault="00B43B11">
            <w:r>
              <w:rPr>
                <w:b/>
                <w:sz w:val="18"/>
              </w:rPr>
              <w:t>Final selected reporting rule</w:t>
            </w:r>
          </w:p>
        </w:tc>
        <w:tc>
          <w:tcPr>
            <w:tcW w:w="3360" w:type="dxa"/>
            <w:vAlign w:val="center"/>
          </w:tcPr>
          <w:p w14:paraId="672D8892" w14:textId="77777777" w:rsidR="00524368" w:rsidRDefault="00B43B11">
            <w:r>
              <w:rPr>
                <w:sz w:val="18"/>
              </w:rPr>
              <w:t>DF-SCA-Balanced</w:t>
            </w:r>
          </w:p>
        </w:tc>
        <w:tc>
          <w:tcPr>
            <w:tcW w:w="3360" w:type="dxa"/>
            <w:vAlign w:val="center"/>
          </w:tcPr>
          <w:p w14:paraId="58DD4006" w14:textId="77777777" w:rsidR="00524368" w:rsidRDefault="00B43B11">
            <w:r>
              <w:rPr>
                <w:sz w:val="18"/>
              </w:rPr>
              <w:t>Density-filtered score-aware reporting with alpha_rho = 2e-3</w:t>
            </w:r>
          </w:p>
        </w:tc>
      </w:tr>
      <w:tr w:rsidR="00524368" w14:paraId="610425E9" w14:textId="77777777">
        <w:trPr>
          <w:jc w:val="center"/>
        </w:trPr>
        <w:tc>
          <w:tcPr>
            <w:tcW w:w="3360" w:type="dxa"/>
            <w:vAlign w:val="center"/>
          </w:tcPr>
          <w:p w14:paraId="5A12F400" w14:textId="77777777" w:rsidR="00524368" w:rsidRDefault="00B43B11">
            <w:r>
              <w:rPr>
                <w:b/>
                <w:sz w:val="18"/>
              </w:rPr>
              <w:t>Use of true global minimizers</w:t>
            </w:r>
          </w:p>
        </w:tc>
        <w:tc>
          <w:tcPr>
            <w:tcW w:w="3360" w:type="dxa"/>
            <w:vAlign w:val="center"/>
          </w:tcPr>
          <w:p w14:paraId="242790DF" w14:textId="77777777" w:rsidR="00524368" w:rsidRDefault="00B43B11">
            <w:r>
              <w:rPr>
                <w:sz w:val="18"/>
              </w:rPr>
              <w:t>Not used during optimization or reporting</w:t>
            </w:r>
          </w:p>
        </w:tc>
        <w:tc>
          <w:tcPr>
            <w:tcW w:w="3360" w:type="dxa"/>
            <w:vAlign w:val="center"/>
          </w:tcPr>
          <w:p w14:paraId="1CED91EE" w14:textId="77777777" w:rsidR="00524368" w:rsidRDefault="00B43B11">
            <w:r>
              <w:rPr>
                <w:sz w:val="18"/>
              </w:rPr>
              <w:t>Used only for offline analysis and validation</w:t>
            </w:r>
          </w:p>
        </w:tc>
      </w:tr>
    </w:tbl>
    <w:p w14:paraId="772F3C4D" w14:textId="77777777" w:rsidR="00524368" w:rsidRDefault="00B43B11">
      <w:pPr>
        <w:pStyle w:val="Heading1"/>
      </w:pPr>
      <w:r>
        <w:t>6. Density-Filtering Sensitivity</w:t>
      </w:r>
    </w:p>
    <w:p w14:paraId="6A293BF3" w14:textId="77777777" w:rsidR="00524368" w:rsidRDefault="00B43B11">
      <w:r>
        <w:t>Three density-filtering coefficients were evaluated on the 320-run development subset. The balanced setting was selected because it provided the best mean score while preserving RPR and improving precision and F1-score.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 w:rsidR="00524368" w14:paraId="65B8D84C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AEDBB5C" w14:textId="77777777" w:rsidR="00524368" w:rsidRDefault="00B43B11">
            <w:r>
              <w:rPr>
                <w:b/>
                <w:color w:val="1F4E79"/>
                <w:sz w:val="18"/>
              </w:rPr>
              <w:t>Variant name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D398959" w14:textId="77777777" w:rsidR="00524368" w:rsidRDefault="00B43B11">
            <w:r>
              <w:rPr>
                <w:b/>
                <w:color w:val="1F4E79"/>
                <w:sz w:val="18"/>
              </w:rPr>
              <w:t>alpha_rho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356D567" w14:textId="77777777" w:rsidR="00524368" w:rsidRDefault="00B43B11">
            <w:r>
              <w:rPr>
                <w:b/>
                <w:color w:val="1F4E79"/>
                <w:sz w:val="18"/>
              </w:rPr>
              <w:t>Mean RPR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545A17D" w14:textId="77777777" w:rsidR="00524368" w:rsidRDefault="00B43B11">
            <w:r>
              <w:rPr>
                <w:b/>
                <w:color w:val="1F4E79"/>
                <w:sz w:val="18"/>
              </w:rPr>
              <w:t>Mean precision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0B5126C8" w14:textId="77777777" w:rsidR="00524368" w:rsidRDefault="00B43B11">
            <w:r>
              <w:rPr>
                <w:b/>
                <w:color w:val="1F4E79"/>
                <w:sz w:val="18"/>
              </w:rPr>
              <w:t>Mean F1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3498F90" w14:textId="77777777" w:rsidR="00524368" w:rsidRDefault="00B43B11">
            <w:r>
              <w:rPr>
                <w:b/>
                <w:color w:val="1F4E79"/>
                <w:sz w:val="18"/>
              </w:rPr>
              <w:t>Mean score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8155708" w14:textId="77777777" w:rsidR="00524368" w:rsidRDefault="00B43B11">
            <w:r>
              <w:rPr>
                <w:b/>
                <w:color w:val="1F4E79"/>
                <w:sz w:val="18"/>
              </w:rPr>
              <w:t>Mean N_sol</w:t>
            </w:r>
          </w:p>
        </w:tc>
      </w:tr>
      <w:tr w:rsidR="00524368" w14:paraId="1F0C718C" w14:textId="77777777">
        <w:trPr>
          <w:jc w:val="center"/>
        </w:trPr>
        <w:tc>
          <w:tcPr>
            <w:tcW w:w="1440" w:type="dxa"/>
            <w:vAlign w:val="center"/>
          </w:tcPr>
          <w:p w14:paraId="7F4EC854" w14:textId="77777777" w:rsidR="00524368" w:rsidRDefault="00B43B11">
            <w:r>
              <w:rPr>
                <w:sz w:val="18"/>
              </w:rPr>
              <w:t>DF-SCA-Low</w:t>
            </w:r>
          </w:p>
        </w:tc>
        <w:tc>
          <w:tcPr>
            <w:tcW w:w="1440" w:type="dxa"/>
            <w:vAlign w:val="center"/>
          </w:tcPr>
          <w:p w14:paraId="0C682DDD" w14:textId="77777777" w:rsidR="00524368" w:rsidRDefault="00B43B11">
            <w:r>
              <w:rPr>
                <w:sz w:val="18"/>
              </w:rPr>
              <w:t>0.001</w:t>
            </w:r>
          </w:p>
        </w:tc>
        <w:tc>
          <w:tcPr>
            <w:tcW w:w="1440" w:type="dxa"/>
            <w:vAlign w:val="center"/>
          </w:tcPr>
          <w:p w14:paraId="13B4279E" w14:textId="77777777" w:rsidR="00524368" w:rsidRDefault="00B43B11">
            <w:r>
              <w:rPr>
                <w:sz w:val="18"/>
              </w:rPr>
              <w:t>0.558904</w:t>
            </w:r>
          </w:p>
        </w:tc>
        <w:tc>
          <w:tcPr>
            <w:tcW w:w="1440" w:type="dxa"/>
            <w:vAlign w:val="center"/>
          </w:tcPr>
          <w:p w14:paraId="016091F3" w14:textId="77777777" w:rsidR="00524368" w:rsidRDefault="00B43B11">
            <w:r>
              <w:rPr>
                <w:sz w:val="18"/>
              </w:rPr>
              <w:t>0.849994</w:t>
            </w:r>
          </w:p>
        </w:tc>
        <w:tc>
          <w:tcPr>
            <w:tcW w:w="1440" w:type="dxa"/>
            <w:vAlign w:val="center"/>
          </w:tcPr>
          <w:p w14:paraId="70CBB792" w14:textId="77777777" w:rsidR="00524368" w:rsidRDefault="00B43B11">
            <w:r>
              <w:rPr>
                <w:sz w:val="18"/>
              </w:rPr>
              <w:t>0.643001</w:t>
            </w:r>
          </w:p>
        </w:tc>
        <w:tc>
          <w:tcPr>
            <w:tcW w:w="1440" w:type="dxa"/>
            <w:vAlign w:val="center"/>
          </w:tcPr>
          <w:p w14:paraId="524E40E5" w14:textId="77777777" w:rsidR="00524368" w:rsidRDefault="00B43B11">
            <w:r>
              <w:rPr>
                <w:sz w:val="18"/>
              </w:rPr>
              <w:t>0.600953</w:t>
            </w:r>
          </w:p>
        </w:tc>
        <w:tc>
          <w:tcPr>
            <w:tcW w:w="1440" w:type="dxa"/>
            <w:vAlign w:val="center"/>
          </w:tcPr>
          <w:p w14:paraId="1F1C62F1" w14:textId="77777777" w:rsidR="00524368" w:rsidRDefault="00B43B11">
            <w:r>
              <w:rPr>
                <w:sz w:val="18"/>
              </w:rPr>
              <w:t>10.153</w:t>
            </w:r>
          </w:p>
        </w:tc>
      </w:tr>
      <w:tr w:rsidR="00524368" w14:paraId="4529143D" w14:textId="77777777">
        <w:trPr>
          <w:jc w:val="center"/>
        </w:trPr>
        <w:tc>
          <w:tcPr>
            <w:tcW w:w="1440" w:type="dxa"/>
            <w:vAlign w:val="center"/>
          </w:tcPr>
          <w:p w14:paraId="3B6CD1F7" w14:textId="77777777" w:rsidR="00524368" w:rsidRDefault="00B43B11">
            <w:r>
              <w:rPr>
                <w:b/>
                <w:sz w:val="18"/>
              </w:rPr>
              <w:t>DF-SCA-Balanced (selected)</w:t>
            </w:r>
          </w:p>
        </w:tc>
        <w:tc>
          <w:tcPr>
            <w:tcW w:w="1440" w:type="dxa"/>
            <w:vAlign w:val="center"/>
          </w:tcPr>
          <w:p w14:paraId="58BFBCDB" w14:textId="77777777" w:rsidR="00524368" w:rsidRDefault="00B43B11">
            <w:r>
              <w:rPr>
                <w:b/>
                <w:sz w:val="18"/>
              </w:rPr>
              <w:t>0.002</w:t>
            </w:r>
          </w:p>
        </w:tc>
        <w:tc>
          <w:tcPr>
            <w:tcW w:w="1440" w:type="dxa"/>
            <w:vAlign w:val="center"/>
          </w:tcPr>
          <w:p w14:paraId="4EBD0C61" w14:textId="77777777" w:rsidR="00524368" w:rsidRDefault="00B43B11">
            <w:r>
              <w:rPr>
                <w:b/>
                <w:sz w:val="18"/>
              </w:rPr>
              <w:t>0.558904</w:t>
            </w:r>
          </w:p>
        </w:tc>
        <w:tc>
          <w:tcPr>
            <w:tcW w:w="1440" w:type="dxa"/>
            <w:vAlign w:val="center"/>
          </w:tcPr>
          <w:p w14:paraId="4590B184" w14:textId="77777777" w:rsidR="00524368" w:rsidRDefault="00B43B11">
            <w:r>
              <w:rPr>
                <w:b/>
                <w:sz w:val="18"/>
              </w:rPr>
              <w:t>0.870491</w:t>
            </w:r>
          </w:p>
        </w:tc>
        <w:tc>
          <w:tcPr>
            <w:tcW w:w="1440" w:type="dxa"/>
            <w:vAlign w:val="center"/>
          </w:tcPr>
          <w:p w14:paraId="5AF6EB58" w14:textId="77777777" w:rsidR="00524368" w:rsidRDefault="00B43B11">
            <w:r>
              <w:rPr>
                <w:b/>
                <w:sz w:val="18"/>
              </w:rPr>
              <w:t>0.650922</w:t>
            </w:r>
          </w:p>
        </w:tc>
        <w:tc>
          <w:tcPr>
            <w:tcW w:w="1440" w:type="dxa"/>
            <w:vAlign w:val="center"/>
          </w:tcPr>
          <w:p w14:paraId="4DAF795E" w14:textId="77777777" w:rsidR="00524368" w:rsidRDefault="00B43B11">
            <w:r>
              <w:rPr>
                <w:b/>
                <w:sz w:val="18"/>
              </w:rPr>
              <w:t>0.604913</w:t>
            </w:r>
          </w:p>
        </w:tc>
        <w:tc>
          <w:tcPr>
            <w:tcW w:w="1440" w:type="dxa"/>
            <w:vAlign w:val="center"/>
          </w:tcPr>
          <w:p w14:paraId="5FCFE24A" w14:textId="77777777" w:rsidR="00524368" w:rsidRDefault="00B43B11">
            <w:r>
              <w:rPr>
                <w:b/>
                <w:sz w:val="18"/>
              </w:rPr>
              <w:t>9.819</w:t>
            </w:r>
          </w:p>
        </w:tc>
      </w:tr>
      <w:tr w:rsidR="00524368" w14:paraId="339404FD" w14:textId="77777777">
        <w:trPr>
          <w:jc w:val="center"/>
        </w:trPr>
        <w:tc>
          <w:tcPr>
            <w:tcW w:w="1440" w:type="dxa"/>
            <w:vAlign w:val="center"/>
          </w:tcPr>
          <w:p w14:paraId="53FA3C74" w14:textId="77777777" w:rsidR="00524368" w:rsidRDefault="00B43B11">
            <w:r>
              <w:rPr>
                <w:sz w:val="18"/>
              </w:rPr>
              <w:t>DF-SCA-High</w:t>
            </w:r>
          </w:p>
        </w:tc>
        <w:tc>
          <w:tcPr>
            <w:tcW w:w="1440" w:type="dxa"/>
            <w:vAlign w:val="center"/>
          </w:tcPr>
          <w:p w14:paraId="41EE153E" w14:textId="77777777" w:rsidR="00524368" w:rsidRDefault="00B43B11">
            <w:r>
              <w:rPr>
                <w:sz w:val="18"/>
              </w:rPr>
              <w:t>0.005</w:t>
            </w:r>
          </w:p>
        </w:tc>
        <w:tc>
          <w:tcPr>
            <w:tcW w:w="1440" w:type="dxa"/>
            <w:vAlign w:val="center"/>
          </w:tcPr>
          <w:p w14:paraId="65B1C2F6" w14:textId="77777777" w:rsidR="00524368" w:rsidRDefault="00B43B11">
            <w:r>
              <w:rPr>
                <w:sz w:val="18"/>
              </w:rPr>
              <w:t>0.558954</w:t>
            </w:r>
          </w:p>
        </w:tc>
        <w:tc>
          <w:tcPr>
            <w:tcW w:w="1440" w:type="dxa"/>
            <w:vAlign w:val="center"/>
          </w:tcPr>
          <w:p w14:paraId="6F915698" w14:textId="77777777" w:rsidR="00524368" w:rsidRDefault="00B43B11">
            <w:r>
              <w:rPr>
                <w:sz w:val="18"/>
              </w:rPr>
              <w:t>0.810685</w:t>
            </w:r>
          </w:p>
        </w:tc>
        <w:tc>
          <w:tcPr>
            <w:tcW w:w="1440" w:type="dxa"/>
            <w:vAlign w:val="center"/>
          </w:tcPr>
          <w:p w14:paraId="35B3EF65" w14:textId="77777777" w:rsidR="00524368" w:rsidRDefault="00B43B11">
            <w:r>
              <w:rPr>
                <w:sz w:val="18"/>
              </w:rPr>
              <w:t>0.637740</w:t>
            </w:r>
          </w:p>
        </w:tc>
        <w:tc>
          <w:tcPr>
            <w:tcW w:w="1440" w:type="dxa"/>
            <w:vAlign w:val="center"/>
          </w:tcPr>
          <w:p w14:paraId="52F3B801" w14:textId="77777777" w:rsidR="00524368" w:rsidRDefault="00B43B11">
            <w:r>
              <w:rPr>
                <w:sz w:val="18"/>
              </w:rPr>
              <w:t>0.598347</w:t>
            </w:r>
          </w:p>
        </w:tc>
        <w:tc>
          <w:tcPr>
            <w:tcW w:w="1440" w:type="dxa"/>
            <w:vAlign w:val="center"/>
          </w:tcPr>
          <w:p w14:paraId="6AE6CEAF" w14:textId="77777777" w:rsidR="00524368" w:rsidRDefault="00B43B11">
            <w:r>
              <w:rPr>
                <w:sz w:val="18"/>
              </w:rPr>
              <w:t>10.494</w:t>
            </w:r>
          </w:p>
        </w:tc>
      </w:tr>
    </w:tbl>
    <w:p w14:paraId="509029A9" w14:textId="77777777" w:rsidR="00524368" w:rsidRDefault="00B43B11">
      <w:r>
        <w:br w:type="page"/>
      </w:r>
    </w:p>
    <w:p w14:paraId="459B2ABC" w14:textId="77777777" w:rsidR="00524368" w:rsidRDefault="00B43B11">
      <w:pPr>
        <w:pStyle w:val="Heading1"/>
      </w:pPr>
      <w:r>
        <w:lastRenderedPageBreak/>
        <w:t>7. Development and Validation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24368" w14:paraId="55376F58" w14:textId="77777777">
        <w:trPr>
          <w:jc w:val="center"/>
        </w:trPr>
        <w:tc>
          <w:tcPr>
            <w:tcW w:w="3360" w:type="dxa"/>
            <w:shd w:val="clear" w:color="auto" w:fill="D9EAF7"/>
            <w:vAlign w:val="center"/>
          </w:tcPr>
          <w:p w14:paraId="6CC34F2D" w14:textId="77777777" w:rsidR="00524368" w:rsidRDefault="00B43B11">
            <w:r>
              <w:rPr>
                <w:b/>
                <w:color w:val="1F4E79"/>
                <w:sz w:val="18"/>
              </w:rPr>
              <w:t>Experiment stage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1BC16C3C" w14:textId="77777777" w:rsidR="00524368" w:rsidRDefault="00B43B11">
            <w:r>
              <w:rPr>
                <w:b/>
                <w:color w:val="1F4E79"/>
                <w:sz w:val="18"/>
              </w:rPr>
              <w:t>Cases</w:t>
            </w:r>
          </w:p>
        </w:tc>
        <w:tc>
          <w:tcPr>
            <w:tcW w:w="3360" w:type="dxa"/>
            <w:shd w:val="clear" w:color="auto" w:fill="D9EAF7"/>
            <w:vAlign w:val="center"/>
          </w:tcPr>
          <w:p w14:paraId="6661E913" w14:textId="77777777" w:rsidR="00524368" w:rsidRDefault="00B43B11">
            <w:r>
              <w:rPr>
                <w:b/>
                <w:color w:val="1F4E79"/>
                <w:sz w:val="18"/>
              </w:rPr>
              <w:t>Role</w:t>
            </w:r>
          </w:p>
        </w:tc>
      </w:tr>
      <w:tr w:rsidR="00524368" w14:paraId="45796420" w14:textId="77777777">
        <w:trPr>
          <w:jc w:val="center"/>
        </w:trPr>
        <w:tc>
          <w:tcPr>
            <w:tcW w:w="3360" w:type="dxa"/>
            <w:vAlign w:val="center"/>
          </w:tcPr>
          <w:p w14:paraId="4AB75CF5" w14:textId="77777777" w:rsidR="00524368" w:rsidRDefault="00B43B11">
            <w:r>
              <w:rPr>
                <w:b/>
                <w:sz w:val="18"/>
              </w:rPr>
              <w:t>320-run development subset</w:t>
            </w:r>
          </w:p>
        </w:tc>
        <w:tc>
          <w:tcPr>
            <w:tcW w:w="3360" w:type="dxa"/>
            <w:vAlign w:val="center"/>
          </w:tcPr>
          <w:p w14:paraId="7776029C" w14:textId="77777777" w:rsidR="00524368" w:rsidRDefault="00B43B11">
            <w:r>
              <w:rPr>
                <w:sz w:val="18"/>
              </w:rPr>
              <w:t>PID in {1,2,6,7,10,11,14,15}, PIN in {1,5,10,15}, D in {10,20}, runs 1,...,5</w:t>
            </w:r>
          </w:p>
        </w:tc>
        <w:tc>
          <w:tcPr>
            <w:tcW w:w="3360" w:type="dxa"/>
            <w:vAlign w:val="center"/>
          </w:tcPr>
          <w:p w14:paraId="054F1230" w14:textId="77777777" w:rsidR="00524368" w:rsidRDefault="00B43B11">
            <w:r>
              <w:rPr>
                <w:sz w:val="18"/>
              </w:rPr>
              <w:t>Used for reporting-rule comparison and density-coefficient selection</w:t>
            </w:r>
          </w:p>
        </w:tc>
      </w:tr>
      <w:tr w:rsidR="00524368" w14:paraId="3BDEDC9A" w14:textId="77777777">
        <w:trPr>
          <w:jc w:val="center"/>
        </w:trPr>
        <w:tc>
          <w:tcPr>
            <w:tcW w:w="3360" w:type="dxa"/>
            <w:vAlign w:val="center"/>
          </w:tcPr>
          <w:p w14:paraId="5D02EB4D" w14:textId="77777777" w:rsidR="00524368" w:rsidRDefault="00B43B11">
            <w:r>
              <w:rPr>
                <w:b/>
                <w:sz w:val="18"/>
              </w:rPr>
              <w:t>768-run broader validation subset</w:t>
            </w:r>
          </w:p>
        </w:tc>
        <w:tc>
          <w:tcPr>
            <w:tcW w:w="3360" w:type="dxa"/>
            <w:vAlign w:val="center"/>
          </w:tcPr>
          <w:p w14:paraId="5409D458" w14:textId="77777777" w:rsidR="00524368" w:rsidRDefault="00B43B11">
            <w:r>
              <w:rPr>
                <w:sz w:val="18"/>
              </w:rPr>
              <w:t>PID = 1,...,16, PIN in {1,5,10,15}, D in {2,5,10,20}, runs 1,2,3</w:t>
            </w:r>
          </w:p>
        </w:tc>
        <w:tc>
          <w:tcPr>
            <w:tcW w:w="3360" w:type="dxa"/>
            <w:vAlign w:val="center"/>
          </w:tcPr>
          <w:p w14:paraId="182418FA" w14:textId="77777777" w:rsidR="00524368" w:rsidRDefault="00B43B11">
            <w:r>
              <w:rPr>
                <w:sz w:val="18"/>
              </w:rPr>
              <w:t>Used to verify that the selected DF-SCA rule remains stable across additional PIDs and dimensions</w:t>
            </w:r>
          </w:p>
        </w:tc>
      </w:tr>
      <w:tr w:rsidR="00524368" w14:paraId="461A92A6" w14:textId="77777777">
        <w:trPr>
          <w:jc w:val="center"/>
        </w:trPr>
        <w:tc>
          <w:tcPr>
            <w:tcW w:w="3360" w:type="dxa"/>
            <w:vAlign w:val="center"/>
          </w:tcPr>
          <w:p w14:paraId="6FC1D91B" w14:textId="77777777" w:rsidR="00524368" w:rsidRDefault="00B43B11">
            <w:r>
              <w:rPr>
                <w:b/>
                <w:sz w:val="18"/>
              </w:rPr>
              <w:t>Complete submission scale</w:t>
            </w:r>
          </w:p>
        </w:tc>
        <w:tc>
          <w:tcPr>
            <w:tcW w:w="3360" w:type="dxa"/>
            <w:vAlign w:val="center"/>
          </w:tcPr>
          <w:p w14:paraId="7AB2E6DA" w14:textId="77777777" w:rsidR="00524368" w:rsidRDefault="00B43B11">
            <w:r>
              <w:rPr>
                <w:sz w:val="18"/>
              </w:rPr>
              <w:t>16 x 15 x 4 = 960 PID-PIN-dimension combinations</w:t>
            </w:r>
          </w:p>
        </w:tc>
        <w:tc>
          <w:tcPr>
            <w:tcW w:w="3360" w:type="dxa"/>
            <w:vAlign w:val="center"/>
          </w:tcPr>
          <w:p w14:paraId="3C4F37C0" w14:textId="77777777" w:rsidR="00524368" w:rsidRDefault="00B43B11">
            <w:r>
              <w:rPr>
                <w:sz w:val="18"/>
              </w:rPr>
              <w:t>Used to generate the final competition output files</w:t>
            </w:r>
          </w:p>
        </w:tc>
      </w:tr>
    </w:tbl>
    <w:p w14:paraId="0478B23D" w14:textId="77777777" w:rsidR="00524368" w:rsidRDefault="00B43B11">
      <w:pPr>
        <w:pStyle w:val="Heading1"/>
      </w:pPr>
      <w:r>
        <w:t>8. Submission and Reproducibility Notes</w:t>
      </w:r>
    </w:p>
    <w:p w14:paraId="255A9006" w14:textId="77777777" w:rsidR="00524368" w:rsidRDefault="00B43B11">
      <w:pPr>
        <w:ind w:left="288"/>
      </w:pPr>
      <w:r>
        <w:rPr>
          <w:b/>
        </w:rPr>
        <w:t xml:space="preserve">• </w:t>
      </w:r>
      <w:r>
        <w:t>The final submitted method is S-CARD-CMSA with DF-SCA-Balanced reporting.</w:t>
      </w:r>
    </w:p>
    <w:p w14:paraId="1E54030F" w14:textId="77777777" w:rsidR="00524368" w:rsidRDefault="00B43B11">
      <w:pPr>
        <w:ind w:left="288"/>
      </w:pPr>
      <w:r>
        <w:rPr>
          <w:b/>
        </w:rPr>
        <w:t xml:space="preserve">• </w:t>
      </w:r>
      <w:r>
        <w:t>The final output consists of one CSV file for each official PID-PIN-dimension case, resulting in 960 files.</w:t>
      </w:r>
    </w:p>
    <w:p w14:paraId="180617DD" w14:textId="77777777" w:rsidR="00524368" w:rsidRDefault="00B43B11">
      <w:pPr>
        <w:ind w:left="288"/>
      </w:pPr>
      <w:r>
        <w:rPr>
          <w:b/>
        </w:rPr>
        <w:t xml:space="preserve">• </w:t>
      </w:r>
      <w:r>
        <w:t>Each CSV file reports decision vectors and the corresponding objective value. The number of decision-variable columns equals D, and the final column is the objective value.</w:t>
      </w:r>
    </w:p>
    <w:p w14:paraId="3CCE42B7" w14:textId="77777777" w:rsidR="00524368" w:rsidRDefault="00B43B11">
      <w:pPr>
        <w:ind w:left="288"/>
      </w:pPr>
      <w:r>
        <w:rPr>
          <w:b/>
        </w:rPr>
        <w:t xml:space="preserve">• </w:t>
      </w:r>
      <w:r>
        <w:t>The method uses the official objective-function evaluation budget FE_max = 20,000D.</w:t>
      </w:r>
    </w:p>
    <w:p w14:paraId="4FE2409E" w14:textId="77777777" w:rsidR="00524368" w:rsidRDefault="00B43B11">
      <w:pPr>
        <w:ind w:left="288"/>
      </w:pPr>
      <w:r>
        <w:rPr>
          <w:b/>
        </w:rPr>
        <w:t xml:space="preserve">• </w:t>
      </w:r>
      <w:r>
        <w:t>The proposed additions do not consume extra objective-function evaluations for search; they use candidate information already generated by RS-CMSA-ESII.</w:t>
      </w:r>
    </w:p>
    <w:p w14:paraId="35D5DAF2" w14:textId="77777777" w:rsidR="00524368" w:rsidRDefault="00B43B11">
      <w:pPr>
        <w:ind w:left="288"/>
      </w:pPr>
      <w:r>
        <w:rPr>
          <w:b/>
        </w:rPr>
        <w:t xml:space="preserve">• </w:t>
      </w:r>
      <w:r>
        <w:t>The method is intended as a conservative and reproducible archive/reporting-level enhancement of the RS-CMSA-ESII optimizer.</w:t>
      </w:r>
    </w:p>
    <w:p w14:paraId="683D3ED1" w14:textId="77777777" w:rsidR="00524368" w:rsidRDefault="00B43B11">
      <w:pPr>
        <w:pStyle w:val="Heading1"/>
      </w:pPr>
      <w:r>
        <w:t>References</w:t>
      </w:r>
    </w:p>
    <w:p w14:paraId="109FCE04" w14:textId="77777777" w:rsidR="00524368" w:rsidRDefault="00B43B11">
      <w:pPr>
        <w:ind w:left="360" w:hanging="360"/>
      </w:pPr>
      <w:r>
        <w:t>[1] A. Ahrari, K. Deb, and M. Preuss, "Multimodal optimization by covariance matrix self-adaptation evolution strategy with repelling subpopulations," Evolutionary Computation, vol. 25, no. 3, pp. 439-471, 2017.</w:t>
      </w:r>
    </w:p>
    <w:p w14:paraId="5DAF2D1E" w14:textId="77777777" w:rsidR="00524368" w:rsidRDefault="00B43B11">
      <w:pPr>
        <w:ind w:left="360" w:hanging="360"/>
      </w:pPr>
      <w:r>
        <w:t>[2] A. Ahrari, S. Elsayed, R. Sarker, D. Essam, and C. A. Coello Coello, "Static and dynamic multimodal optimization by improved covariance matrix self-adaptation evolution strategy with repelling subpopulations," IEEE Transactions on Evolutionary Computation, vol. 26, no. 3, pp. 527-541, 2022.</w:t>
      </w:r>
    </w:p>
    <w:p w14:paraId="2462C48C" w14:textId="77777777" w:rsidR="00524368" w:rsidRDefault="00B43B11">
      <w:pPr>
        <w:ind w:left="360" w:hanging="360"/>
      </w:pPr>
      <w:r>
        <w:t>[3] A. Ahrari, J. E. Fieldsend, M. Preuss, X. Li, and M. G. Epitropakis, "Experimental setup for CEC 2026 competition on benchmarking niching methods for multimodal optimization," Tech. Rep. CIS-TF-MMO-TR-2026-001, IEEE CIS Task Force on Multimodal Optimization, 2026.</w:t>
      </w:r>
    </w:p>
    <w:sectPr w:rsidR="00524368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91746" w14:textId="77777777" w:rsidR="00B43B11" w:rsidRDefault="00B43B11">
      <w:pPr>
        <w:spacing w:after="0" w:line="240" w:lineRule="auto"/>
      </w:pPr>
      <w:r>
        <w:separator/>
      </w:r>
    </w:p>
  </w:endnote>
  <w:endnote w:type="continuationSeparator" w:id="0">
    <w:p w14:paraId="7737DCF8" w14:textId="77777777" w:rsidR="00B43B11" w:rsidRDefault="00B4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4DCE7" w14:textId="77777777" w:rsidR="00524368" w:rsidRDefault="00B43B11">
    <w:pPr>
      <w:pStyle w:val="Footer"/>
      <w:jc w:val="center"/>
    </w:pPr>
    <w:r>
      <w:rPr>
        <w:sz w:val="16"/>
      </w:rPr>
      <w:t>S-CARD-CMSA Method Description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4E1F3" w14:textId="77777777" w:rsidR="00B43B11" w:rsidRDefault="00B43B11">
      <w:pPr>
        <w:spacing w:after="0" w:line="240" w:lineRule="auto"/>
      </w:pPr>
      <w:r>
        <w:separator/>
      </w:r>
    </w:p>
  </w:footnote>
  <w:footnote w:type="continuationSeparator" w:id="0">
    <w:p w14:paraId="30E6E9B1" w14:textId="77777777" w:rsidR="00B43B11" w:rsidRDefault="00B43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876578">
    <w:abstractNumId w:val="8"/>
  </w:num>
  <w:num w:numId="2" w16cid:durableId="195582087">
    <w:abstractNumId w:val="6"/>
  </w:num>
  <w:num w:numId="3" w16cid:durableId="1334184457">
    <w:abstractNumId w:val="5"/>
  </w:num>
  <w:num w:numId="4" w16cid:durableId="731076295">
    <w:abstractNumId w:val="4"/>
  </w:num>
  <w:num w:numId="5" w16cid:durableId="1165315104">
    <w:abstractNumId w:val="7"/>
  </w:num>
  <w:num w:numId="6" w16cid:durableId="2038240590">
    <w:abstractNumId w:val="3"/>
  </w:num>
  <w:num w:numId="7" w16cid:durableId="227225326">
    <w:abstractNumId w:val="2"/>
  </w:num>
  <w:num w:numId="8" w16cid:durableId="2086298518">
    <w:abstractNumId w:val="1"/>
  </w:num>
  <w:num w:numId="9" w16cid:durableId="625547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F51"/>
    <w:rsid w:val="00524368"/>
    <w:rsid w:val="005E54C5"/>
    <w:rsid w:val="00734C0C"/>
    <w:rsid w:val="00AA1D8D"/>
    <w:rsid w:val="00AB5979"/>
    <w:rsid w:val="00B43B11"/>
    <w:rsid w:val="00B47730"/>
    <w:rsid w:val="00CB0664"/>
    <w:rsid w:val="00EE66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980AC"/>
  <w14:defaultImageDpi w14:val="300"/>
  <w15:docId w15:val="{13BAA4D2-49C5-E141-86E7-95D078E9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Times New Roman" w:hAnsi="Times New Roman"/>
      <w:i/>
      <w:color w:val="5A5A5A"/>
      <w:sz w:val="18"/>
    </w:rPr>
  </w:style>
  <w:style w:type="character" w:styleId="Hyperlink">
    <w:name w:val="Hyperlink"/>
    <w:basedOn w:val="DefaultParagraphFont"/>
    <w:uiPriority w:val="99"/>
    <w:unhideWhenUsed/>
    <w:rsid w:val="00420F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kshitchauhan60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1118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Dikshit Chauhan</cp:lastModifiedBy>
  <cp:revision>4</cp:revision>
  <dcterms:created xsi:type="dcterms:W3CDTF">2013-12-23T23:15:00Z</dcterms:created>
  <dcterms:modified xsi:type="dcterms:W3CDTF">2026-05-30T08:27:00Z</dcterms:modified>
  <cp:category/>
</cp:coreProperties>
</file>