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B6BA" w14:textId="1BE332F4" w:rsidR="00E1472C" w:rsidRPr="00E1472C" w:rsidRDefault="006571C8" w:rsidP="00AD5342">
      <w:pPr>
        <w:pStyle w:val="Title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268138" wp14:editId="6249F638">
                <wp:simplePos x="0" y="0"/>
                <wp:positionH relativeFrom="page">
                  <wp:posOffset>5476875</wp:posOffset>
                </wp:positionH>
                <wp:positionV relativeFrom="paragraph">
                  <wp:posOffset>9525</wp:posOffset>
                </wp:positionV>
                <wp:extent cx="1866900" cy="723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723900"/>
                        </a:xfrm>
                        <a:prstGeom prst="round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7421A" w14:textId="77777777" w:rsidR="006571C8" w:rsidRPr="008B3DB1" w:rsidRDefault="006571C8" w:rsidP="006571C8">
                            <w:pPr>
                              <w:spacing w:after="20" w:line="240" w:lineRule="auto"/>
                              <w:jc w:val="right"/>
                              <w:rPr>
                                <w:rStyle w:val="SubtleEmphasis"/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</w:rPr>
                            </w:pPr>
                            <w:r w:rsidRPr="008B3DB1">
                              <w:rPr>
                                <w:rStyle w:val="SubtleEmphasis"/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</w:rPr>
                              <w:t>ROHAN SINGH</w:t>
                            </w:r>
                          </w:p>
                          <w:p w14:paraId="08913ADD" w14:textId="3A9D47C3" w:rsidR="006571C8" w:rsidRDefault="008B3DB1" w:rsidP="006571C8">
                            <w:pPr>
                              <w:spacing w:after="20" w:line="240" w:lineRule="auto"/>
                              <w:jc w:val="right"/>
                              <w:rPr>
                                <w:rStyle w:val="SubtleEmphasis"/>
                                <w:rFonts w:asciiTheme="majorHAnsi" w:hAnsiTheme="majorHAnsi" w:cstheme="majorHAnsi"/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Style w:val="SubtleEmphasis"/>
                                <w:rFonts w:asciiTheme="majorHAnsi" w:hAnsiTheme="majorHAnsi" w:cstheme="majorHAnsi"/>
                                <w:i w:val="0"/>
                                <w:iCs w:val="0"/>
                              </w:rPr>
                              <w:t>University of Delhi</w:t>
                            </w:r>
                          </w:p>
                          <w:p w14:paraId="50649258" w14:textId="1EEECC85" w:rsidR="006571C8" w:rsidRPr="006571C8" w:rsidRDefault="00BA3300" w:rsidP="006571C8">
                            <w:pPr>
                              <w:spacing w:after="20" w:line="240" w:lineRule="auto"/>
                              <w:jc w:val="right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Style w:val="SubtleEmphasis"/>
                                <w:rFonts w:asciiTheme="majorHAnsi" w:hAnsiTheme="majorHAnsi" w:cstheme="majorHAnsi"/>
                                <w:i w:val="0"/>
                                <w:iCs w:val="0"/>
                              </w:rPr>
                              <w:t>Exam Roll No</w:t>
                            </w:r>
                            <w:r w:rsidR="006571C8">
                              <w:rPr>
                                <w:rStyle w:val="SubtleEmphasis"/>
                                <w:rFonts w:asciiTheme="majorHAnsi" w:hAnsiTheme="majorHAnsi" w:cstheme="majorHAnsi"/>
                                <w:i w:val="0"/>
                                <w:iCs w:val="0"/>
                              </w:rPr>
                              <w:t>: 21025746024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8138" id="Text Box 2" o:spid="_x0000_s1026" style="position:absolute;left:0;text-align:left;margin-left:431.25pt;margin-top:.75pt;width:147pt;height:5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" filled="f" strokecolor="#ed7d31 [3205]" strokeweight="1pt">
                <v:stroke joinstyle="miter"/>
                <v:textbox>
                  <w:txbxContent>
                    <w:p w14:paraId="3597421A" w14:textId="77777777" w:rsidR="006571C8" w:rsidRPr="008B3DB1" w:rsidRDefault="006571C8" w:rsidP="006571C8">
                      <w:pPr>
                        <w:spacing w:after="20" w:line="240" w:lineRule="auto"/>
                        <w:jc w:val="right"/>
                        <w:rPr>
                          <w:rStyle w:val="SubtleEmphasis"/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</w:rPr>
                      </w:pPr>
                      <w:r w:rsidRPr="008B3DB1">
                        <w:rPr>
                          <w:rStyle w:val="SubtleEmphasis"/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</w:rPr>
                        <w:t>ROHAN SINGH</w:t>
                      </w:r>
                    </w:p>
                    <w:p w14:paraId="08913ADD" w14:textId="3A9D47C3" w:rsidR="006571C8" w:rsidRDefault="008B3DB1" w:rsidP="006571C8">
                      <w:pPr>
                        <w:spacing w:after="20" w:line="240" w:lineRule="auto"/>
                        <w:jc w:val="right"/>
                        <w:rPr>
                          <w:rStyle w:val="SubtleEmphasis"/>
                          <w:rFonts w:asciiTheme="majorHAnsi" w:hAnsiTheme="majorHAnsi" w:cstheme="majorHAnsi"/>
                          <w:i w:val="0"/>
                          <w:iCs w:val="0"/>
                        </w:rPr>
                      </w:pPr>
                      <w:r>
                        <w:rPr>
                          <w:rStyle w:val="SubtleEmphasis"/>
                          <w:rFonts w:asciiTheme="majorHAnsi" w:hAnsiTheme="majorHAnsi" w:cstheme="majorHAnsi"/>
                          <w:i w:val="0"/>
                          <w:iCs w:val="0"/>
                        </w:rPr>
                        <w:t>University of Delhi</w:t>
                      </w:r>
                    </w:p>
                    <w:p w14:paraId="50649258" w14:textId="1EEECC85" w:rsidR="006571C8" w:rsidRPr="006571C8" w:rsidRDefault="00BA3300" w:rsidP="006571C8">
                      <w:pPr>
                        <w:spacing w:after="20" w:line="240" w:lineRule="auto"/>
                        <w:jc w:val="right"/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>
                        <w:rPr>
                          <w:rStyle w:val="SubtleEmphasis"/>
                          <w:rFonts w:asciiTheme="majorHAnsi" w:hAnsiTheme="majorHAnsi" w:cstheme="majorHAnsi"/>
                          <w:i w:val="0"/>
                          <w:iCs w:val="0"/>
                        </w:rPr>
                        <w:t>Exam Roll No</w:t>
                      </w:r>
                      <w:r w:rsidR="006571C8">
                        <w:rPr>
                          <w:rStyle w:val="SubtleEmphasis"/>
                          <w:rFonts w:asciiTheme="majorHAnsi" w:hAnsiTheme="majorHAnsi" w:cstheme="majorHAnsi"/>
                          <w:i w:val="0"/>
                          <w:iCs w:val="0"/>
                        </w:rPr>
                        <w:t>: 21025746024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E1472C" w:rsidRPr="00E1472C">
        <w:t>SOLID WASTE MANAGEMENT</w:t>
      </w:r>
    </w:p>
    <w:p w14:paraId="572860DC" w14:textId="6801F665" w:rsidR="00E1472C" w:rsidRDefault="00E1472C" w:rsidP="00AD5342">
      <w:pPr>
        <w:pStyle w:val="Subtitle"/>
        <w:jc w:val="both"/>
        <w:rPr>
          <w:rFonts w:asciiTheme="majorHAnsi" w:hAnsiTheme="majorHAnsi" w:cstheme="majorHAnsi"/>
          <w:sz w:val="28"/>
          <w:szCs w:val="28"/>
        </w:rPr>
      </w:pPr>
      <w:r w:rsidRPr="009A0282">
        <w:rPr>
          <w:rFonts w:asciiTheme="majorHAnsi" w:hAnsiTheme="majorHAnsi" w:cstheme="majorHAnsi"/>
          <w:sz w:val="28"/>
          <w:szCs w:val="28"/>
        </w:rPr>
        <w:t>PROBLEM AND SOLUTION</w:t>
      </w:r>
    </w:p>
    <w:p w14:paraId="58645DD9" w14:textId="1D71420C" w:rsidR="005E6519" w:rsidRPr="005E6519" w:rsidRDefault="00E1472C" w:rsidP="005E6519">
      <w:pPr>
        <w:pStyle w:val="Heading1"/>
        <w:jc w:val="both"/>
      </w:pPr>
      <w:r w:rsidRPr="00E1472C">
        <w:t>PROBLEM</w:t>
      </w:r>
    </w:p>
    <w:p w14:paraId="2DF3DFF9" w14:textId="5F790C44" w:rsidR="00250C19" w:rsidRDefault="00094DBC" w:rsidP="00BA3300">
      <w:pPr>
        <w:spacing w:before="240"/>
        <w:jc w:val="both"/>
        <w:rPr>
          <w:sz w:val="24"/>
          <w:szCs w:val="24"/>
        </w:rPr>
      </w:pPr>
      <w:r w:rsidRPr="00094DBC">
        <w:rPr>
          <w:rFonts w:cstheme="minorHAnsi"/>
          <w:sz w:val="24"/>
          <w:szCs w:val="24"/>
        </w:rPr>
        <w:t>About</w:t>
      </w:r>
      <w:r w:rsidRPr="00094DBC">
        <w:rPr>
          <w:sz w:val="24"/>
          <w:szCs w:val="24"/>
        </w:rPr>
        <w:t xml:space="preserve"> 2 billion </w:t>
      </w:r>
      <w:r>
        <w:rPr>
          <w:sz w:val="24"/>
          <w:szCs w:val="24"/>
        </w:rPr>
        <w:t>t</w:t>
      </w:r>
      <w:r w:rsidRPr="00094DBC">
        <w:rPr>
          <w:sz w:val="24"/>
          <w:szCs w:val="24"/>
        </w:rPr>
        <w:t xml:space="preserve">onnes of </w:t>
      </w:r>
      <w:r w:rsidRPr="009F2946">
        <w:rPr>
          <w:i/>
          <w:iCs/>
          <w:color w:val="C00000"/>
          <w:sz w:val="24"/>
          <w:szCs w:val="24"/>
        </w:rPr>
        <w:t>Municipal Solid Waste</w:t>
      </w:r>
      <w:r w:rsidRPr="009A4234">
        <w:rPr>
          <w:i/>
          <w:iCs/>
          <w:color w:val="C00000"/>
          <w:sz w:val="24"/>
          <w:szCs w:val="24"/>
        </w:rPr>
        <w:t xml:space="preserve"> </w:t>
      </w:r>
      <w:r w:rsidRPr="00094DBC">
        <w:rPr>
          <w:sz w:val="24"/>
          <w:szCs w:val="24"/>
        </w:rPr>
        <w:t>(</w:t>
      </w:r>
      <w:r w:rsidRPr="0089682D">
        <w:rPr>
          <w:color w:val="C00000"/>
          <w:sz w:val="24"/>
          <w:szCs w:val="24"/>
        </w:rPr>
        <w:t>MSW</w:t>
      </w:r>
      <w:r w:rsidRPr="00094DBC">
        <w:rPr>
          <w:sz w:val="24"/>
          <w:szCs w:val="24"/>
        </w:rPr>
        <w:t>) is generated</w:t>
      </w:r>
      <w:r>
        <w:rPr>
          <w:sz w:val="24"/>
          <w:szCs w:val="24"/>
        </w:rPr>
        <w:t xml:space="preserve"> every year around the world, which is equal to total number of known galaxies! India alone has population of about 1.25 million, which produces roughly 150,000 tonnes of solid waste </w:t>
      </w:r>
      <w:r w:rsidR="00250C19">
        <w:rPr>
          <w:sz w:val="24"/>
          <w:szCs w:val="24"/>
        </w:rPr>
        <w:t>per day, which amounts to 62 million tonnes of MSW per year, about 70% (~ 43 million tonnes) of which is collected, of which, less than 30% (~ 12 million tonnes) is treated, and rest (~ 31 million tonnes) is dumped in landfill sites.</w:t>
      </w:r>
    </w:p>
    <w:p w14:paraId="6FCFB66F" w14:textId="29F1AAC8" w:rsidR="00250C19" w:rsidRPr="0089682D" w:rsidRDefault="00250C19" w:rsidP="00AD5342">
      <w:pPr>
        <w:jc w:val="both"/>
        <w:rPr>
          <w:sz w:val="24"/>
          <w:szCs w:val="24"/>
        </w:rPr>
      </w:pPr>
      <w:r>
        <w:rPr>
          <w:sz w:val="24"/>
          <w:szCs w:val="24"/>
        </w:rPr>
        <w:t>According to World Bank, India daily waste generation will surpass 377,000 tonnes by 2025</w:t>
      </w:r>
    </w:p>
    <w:p w14:paraId="4CEAD493" w14:textId="1763B671" w:rsidR="0089682D" w:rsidRDefault="00250C19" w:rsidP="00AD5342">
      <w:pPr>
        <w:pStyle w:val="Heading1"/>
        <w:jc w:val="both"/>
      </w:pPr>
      <w:r>
        <w:t>CONSEQUNECES</w:t>
      </w:r>
    </w:p>
    <w:p w14:paraId="675AC1F3" w14:textId="1FCF6A43" w:rsidR="006A4F84" w:rsidRPr="006A4F84" w:rsidRDefault="006A4F84" w:rsidP="00AD5342">
      <w:pPr>
        <w:spacing w:before="240"/>
        <w:jc w:val="both"/>
      </w:pPr>
      <w:r>
        <w:rPr>
          <w:noProof/>
        </w:rPr>
        <w:drawing>
          <wp:inline distT="0" distB="0" distL="0" distR="0" wp14:anchorId="732C3DCA" wp14:editId="6C85B0D1">
            <wp:extent cx="5655733" cy="242887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851F0D9" w14:textId="076A03FC" w:rsidR="00250C19" w:rsidRDefault="009A4234" w:rsidP="00AD5342">
      <w:p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With ever raising population, solid waste generation is increasing, which coupled with improper</w:t>
      </w:r>
      <w:r w:rsidR="0089682D">
        <w:rPr>
          <w:sz w:val="24"/>
          <w:szCs w:val="24"/>
        </w:rPr>
        <w:t xml:space="preserve"> </w:t>
      </w:r>
      <w:r w:rsidR="0089682D" w:rsidRPr="0089682D">
        <w:rPr>
          <w:i/>
          <w:iCs/>
          <w:color w:val="C00000"/>
          <w:sz w:val="24"/>
          <w:szCs w:val="24"/>
        </w:rPr>
        <w:t>Solid Waste</w:t>
      </w:r>
      <w:r w:rsidRPr="0089682D">
        <w:rPr>
          <w:i/>
          <w:iCs/>
          <w:color w:val="C00000"/>
          <w:sz w:val="24"/>
          <w:szCs w:val="24"/>
        </w:rPr>
        <w:t xml:space="preserve"> </w:t>
      </w:r>
      <w:r w:rsidR="0089682D" w:rsidRPr="0089682D">
        <w:rPr>
          <w:i/>
          <w:iCs/>
          <w:color w:val="C00000"/>
          <w:sz w:val="24"/>
          <w:szCs w:val="24"/>
        </w:rPr>
        <w:t>M</w:t>
      </w:r>
      <w:r w:rsidRPr="0089682D">
        <w:rPr>
          <w:i/>
          <w:iCs/>
          <w:color w:val="C00000"/>
          <w:sz w:val="24"/>
          <w:szCs w:val="24"/>
        </w:rPr>
        <w:t>anagement</w:t>
      </w:r>
      <w:r w:rsidR="0089682D" w:rsidRPr="0089682D">
        <w:rPr>
          <w:color w:val="C00000"/>
          <w:sz w:val="24"/>
          <w:szCs w:val="24"/>
        </w:rPr>
        <w:t xml:space="preserve"> </w:t>
      </w:r>
      <w:r w:rsidR="0089682D">
        <w:rPr>
          <w:sz w:val="24"/>
          <w:szCs w:val="24"/>
        </w:rPr>
        <w:t>(</w:t>
      </w:r>
      <w:r w:rsidR="0089682D" w:rsidRPr="0089682D">
        <w:rPr>
          <w:color w:val="C00000"/>
          <w:sz w:val="24"/>
          <w:szCs w:val="24"/>
        </w:rPr>
        <w:t>SWM</w:t>
      </w:r>
      <w:r w:rsidR="0089682D">
        <w:rPr>
          <w:sz w:val="24"/>
          <w:szCs w:val="24"/>
        </w:rPr>
        <w:t>)</w:t>
      </w:r>
      <w:r>
        <w:rPr>
          <w:sz w:val="24"/>
          <w:szCs w:val="24"/>
        </w:rPr>
        <w:t xml:space="preserve"> leads to a series of consequences</w:t>
      </w:r>
    </w:p>
    <w:p w14:paraId="2358123B" w14:textId="39A0DB4A" w:rsidR="009A4234" w:rsidRPr="009A4234" w:rsidRDefault="009A4234" w:rsidP="00AD5342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Improper SWM costs 10 times more than healthcare, decreasing productivity</w:t>
      </w:r>
    </w:p>
    <w:p w14:paraId="072F5DEA" w14:textId="7812A11C" w:rsidR="009A4234" w:rsidRPr="009A4234" w:rsidRDefault="009A4234" w:rsidP="00AD5342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Non-adequate collection to improper disposal causes air, water and soil pollution</w:t>
      </w:r>
    </w:p>
    <w:p w14:paraId="16BE928B" w14:textId="65CA82E7" w:rsidR="0089682D" w:rsidRDefault="009A4234" w:rsidP="00AD5342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Increasing need for landfill sites (which is </w:t>
      </w:r>
      <w:r w:rsidRPr="009A4234">
        <w:rPr>
          <w:color w:val="C00000"/>
          <w:sz w:val="24"/>
          <w:szCs w:val="24"/>
        </w:rPr>
        <w:t>NOT</w:t>
      </w:r>
      <w:r>
        <w:rPr>
          <w:sz w:val="24"/>
          <w:szCs w:val="24"/>
        </w:rPr>
        <w:t xml:space="preserve"> a solution). Open and unsanitary landfills cause contamination of drinking water and spread of infections and diseases</w:t>
      </w:r>
    </w:p>
    <w:p w14:paraId="71E76F24" w14:textId="6080649D" w:rsidR="0089682D" w:rsidRDefault="0089682D" w:rsidP="00AD5342">
      <w:pPr>
        <w:pStyle w:val="ListParagraph"/>
        <w:numPr>
          <w:ilvl w:val="0"/>
          <w:numId w:val="2"/>
        </w:numPr>
        <w:spacing w:before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Uncollected waste remains littered across the city, leading to environmental and marine pollution, blocking drains, causing dengue, malaria etc</w:t>
      </w:r>
    </w:p>
    <w:p w14:paraId="306FE50B" w14:textId="75F35FC1" w:rsidR="0089682D" w:rsidRDefault="0089682D" w:rsidP="00AD5342">
      <w:pPr>
        <w:pStyle w:val="Heading1"/>
        <w:jc w:val="both"/>
      </w:pPr>
      <w:r>
        <w:t>SOLUTION</w:t>
      </w:r>
    </w:p>
    <w:p w14:paraId="14AD78FC" w14:textId="0DC264DB" w:rsidR="0089682D" w:rsidRDefault="0089682D" w:rsidP="00AD5342">
      <w:pPr>
        <w:jc w:val="both"/>
        <w:rPr>
          <w:sz w:val="24"/>
          <w:szCs w:val="24"/>
        </w:rPr>
      </w:pPr>
      <w:r>
        <w:rPr>
          <w:sz w:val="24"/>
          <w:szCs w:val="24"/>
        </w:rPr>
        <w:t>An effective 5-step protocol for sustainable SWM</w:t>
      </w:r>
      <w:r w:rsidR="00DC28FD">
        <w:rPr>
          <w:sz w:val="24"/>
          <w:szCs w:val="24"/>
        </w:rPr>
        <w:t xml:space="preserve"> in a given area</w:t>
      </w:r>
      <w:r>
        <w:rPr>
          <w:sz w:val="24"/>
          <w:szCs w:val="24"/>
        </w:rPr>
        <w:t xml:space="preserve"> is proposed below</w:t>
      </w:r>
    </w:p>
    <w:p w14:paraId="2B012554" w14:textId="0AD1CE9B" w:rsidR="0089682D" w:rsidRDefault="0089682D" w:rsidP="00AD5342">
      <w:pPr>
        <w:pStyle w:val="Heading4"/>
        <w:jc w:val="both"/>
      </w:pPr>
      <w:r>
        <w:t xml:space="preserve">STEP 1: </w:t>
      </w:r>
      <w:r w:rsidR="00DC28FD">
        <w:t>Understanding Demography</w:t>
      </w:r>
    </w:p>
    <w:p w14:paraId="572D959F" w14:textId="6E353029" w:rsidR="00DC28FD" w:rsidRPr="0055008D" w:rsidRDefault="00DC28FD" w:rsidP="00AD534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Evaluate and localize waste generation sources in the entire area.</w:t>
      </w:r>
    </w:p>
    <w:p w14:paraId="1D84E681" w14:textId="1E6817D7" w:rsidR="00DC28FD" w:rsidRPr="0055008D" w:rsidRDefault="00DC28FD" w:rsidP="00AD534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lastRenderedPageBreak/>
        <w:t>Classify the area into regions based on density of waste generation as</w:t>
      </w:r>
    </w:p>
    <w:p w14:paraId="20FDCCEB" w14:textId="48800426" w:rsidR="00DC28FD" w:rsidRPr="0055008D" w:rsidRDefault="00DC28FD" w:rsidP="00AD5342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High density regions</w:t>
      </w:r>
    </w:p>
    <w:p w14:paraId="722BFFB7" w14:textId="14EA7820" w:rsidR="00DC28FD" w:rsidRPr="0055008D" w:rsidRDefault="00DC28FD" w:rsidP="00AD5342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Medium density regions</w:t>
      </w:r>
    </w:p>
    <w:p w14:paraId="020F1A2E" w14:textId="2955DC30" w:rsidR="00DC28FD" w:rsidRPr="00DC28FD" w:rsidRDefault="00DC28FD" w:rsidP="00AD5342">
      <w:pPr>
        <w:pStyle w:val="ListParagraph"/>
        <w:numPr>
          <w:ilvl w:val="1"/>
          <w:numId w:val="5"/>
        </w:numPr>
        <w:jc w:val="both"/>
      </w:pPr>
      <w:r w:rsidRPr="0055008D">
        <w:rPr>
          <w:sz w:val="24"/>
          <w:szCs w:val="24"/>
        </w:rPr>
        <w:t>Low density regions</w:t>
      </w:r>
    </w:p>
    <w:p w14:paraId="5034C71C" w14:textId="5DE7CD14" w:rsidR="00DC28FD" w:rsidRDefault="00DC28FD" w:rsidP="00AD5342">
      <w:pPr>
        <w:pStyle w:val="Heading4"/>
        <w:jc w:val="both"/>
      </w:pPr>
      <w:r>
        <w:t>STEP 2: Statistical Analysis (GIS Maps)</w:t>
      </w:r>
    </w:p>
    <w:p w14:paraId="63C34458" w14:textId="5CDE7299" w:rsidR="00DC28FD" w:rsidRPr="0055008D" w:rsidRDefault="00DC28FD" w:rsidP="00AD5342">
      <w:pPr>
        <w:jc w:val="both"/>
        <w:rPr>
          <w:sz w:val="24"/>
          <w:szCs w:val="24"/>
        </w:rPr>
      </w:pPr>
      <w:r w:rsidRPr="0055008D">
        <w:rPr>
          <w:sz w:val="24"/>
          <w:szCs w:val="24"/>
        </w:rPr>
        <w:t xml:space="preserve">Create </w:t>
      </w:r>
      <w:r w:rsidRPr="0055008D">
        <w:rPr>
          <w:color w:val="C00000"/>
          <w:sz w:val="24"/>
          <w:szCs w:val="24"/>
        </w:rPr>
        <w:t>GIS</w:t>
      </w:r>
      <w:r w:rsidRPr="0055008D">
        <w:rPr>
          <w:sz w:val="24"/>
          <w:szCs w:val="24"/>
        </w:rPr>
        <w:t xml:space="preserve"> (Geographical Information System) maps for each type of region (as in Step-1), with modifiable parameters like…</w:t>
      </w:r>
    </w:p>
    <w:p w14:paraId="597729C1" w14:textId="56438462" w:rsidR="00DC28FD" w:rsidRPr="0055008D" w:rsidRDefault="00DC28FD" w:rsidP="00AD534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Land Use</w:t>
      </w:r>
    </w:p>
    <w:p w14:paraId="773A8754" w14:textId="4EC11C33" w:rsidR="00DC28FD" w:rsidRPr="0055008D" w:rsidRDefault="00DC28FD" w:rsidP="00AD534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Demography (births, deaths, diseases etc)</w:t>
      </w:r>
    </w:p>
    <w:p w14:paraId="6163A6D8" w14:textId="03877999" w:rsidR="00DC28FD" w:rsidRPr="0055008D" w:rsidRDefault="00DC28FD" w:rsidP="00AD534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Infrastructure</w:t>
      </w:r>
    </w:p>
    <w:p w14:paraId="7F5093F5" w14:textId="5546009E" w:rsidR="00DC28FD" w:rsidRPr="0055008D" w:rsidRDefault="00DC28FD" w:rsidP="00AD5342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Environment</w:t>
      </w:r>
    </w:p>
    <w:p w14:paraId="465C4CFA" w14:textId="1343FABA" w:rsidR="00647786" w:rsidRDefault="00DC28FD" w:rsidP="00AD5342">
      <w:pPr>
        <w:pStyle w:val="Heading4"/>
        <w:jc w:val="both"/>
      </w:pPr>
      <w:r>
        <w:t xml:space="preserve">STEP 3: </w:t>
      </w:r>
      <w:r w:rsidR="00647786">
        <w:t>Waste Characterisation</w:t>
      </w:r>
    </w:p>
    <w:p w14:paraId="31F673CF" w14:textId="0AD41553" w:rsidR="00647786" w:rsidRPr="0055008D" w:rsidRDefault="00647786" w:rsidP="00AD534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Collected waste is screened on-site via Rotary Trommels (in mobile vehicular units) based on size</w:t>
      </w:r>
    </w:p>
    <w:p w14:paraId="03F04E7F" w14:textId="1EE70B58" w:rsidR="00647786" w:rsidRPr="0055008D" w:rsidRDefault="00647786" w:rsidP="00AD5342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Screened waste is categorised based on detailed physical and chemical composition</w:t>
      </w:r>
    </w:p>
    <w:p w14:paraId="20AAFFAB" w14:textId="0D662F7B" w:rsidR="00647786" w:rsidRPr="0055008D" w:rsidRDefault="00647786" w:rsidP="00AD5342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Physical Analysis: thermal, mechanical and physical properties</w:t>
      </w:r>
    </w:p>
    <w:p w14:paraId="24382773" w14:textId="17F0B3E4" w:rsidR="00647786" w:rsidRPr="0055008D" w:rsidRDefault="00647786" w:rsidP="00AD5342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Chemical Analysis: elemental composition of waste (like Carbon, Oxygen etc)</w:t>
      </w:r>
    </w:p>
    <w:p w14:paraId="64AFBF3D" w14:textId="1C70CABB" w:rsidR="00647786" w:rsidRPr="0055008D" w:rsidRDefault="00647786" w:rsidP="00AD5342">
      <w:pPr>
        <w:pStyle w:val="ListParagraph"/>
        <w:numPr>
          <w:ilvl w:val="1"/>
          <w:numId w:val="15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Stability and Elution test: reveals green house gas potential and leaching property</w:t>
      </w:r>
    </w:p>
    <w:p w14:paraId="0A4CEEA9" w14:textId="253C7782" w:rsidR="00647786" w:rsidRPr="0055008D" w:rsidRDefault="00647786" w:rsidP="00AD5342">
      <w:pPr>
        <w:jc w:val="both"/>
        <w:rPr>
          <w:sz w:val="24"/>
          <w:szCs w:val="24"/>
        </w:rPr>
      </w:pPr>
      <w:r w:rsidRPr="0055008D">
        <w:rPr>
          <w:sz w:val="24"/>
          <w:szCs w:val="24"/>
        </w:rPr>
        <w:t xml:space="preserve">These </w:t>
      </w:r>
      <w:r w:rsidRPr="0055008D">
        <w:rPr>
          <w:color w:val="C00000"/>
          <w:sz w:val="24"/>
          <w:szCs w:val="24"/>
        </w:rPr>
        <w:t>Waste Characterisation Manuals</w:t>
      </w:r>
      <w:r w:rsidRPr="0055008D">
        <w:rPr>
          <w:sz w:val="24"/>
          <w:szCs w:val="24"/>
        </w:rPr>
        <w:t xml:space="preserve"> gives us a LOT OF DATA to work with…</w:t>
      </w:r>
    </w:p>
    <w:p w14:paraId="1BC18AF9" w14:textId="3C5BD6DE" w:rsidR="00647786" w:rsidRDefault="00647786" w:rsidP="00AD5342">
      <w:pPr>
        <w:pStyle w:val="Heading4"/>
        <w:jc w:val="both"/>
      </w:pPr>
      <w:r>
        <w:t>STEP 4: Data Analysis</w:t>
      </w:r>
      <w:r w:rsidR="00F41979">
        <w:t xml:space="preserve"> (using dynamic software’s)</w:t>
      </w:r>
    </w:p>
    <w:p w14:paraId="2B283397" w14:textId="48164D8A" w:rsidR="00F41979" w:rsidRPr="0055008D" w:rsidRDefault="00F41979" w:rsidP="00AD5342">
      <w:p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Data Analysis allows us to…</w:t>
      </w:r>
    </w:p>
    <w:p w14:paraId="1AA9743D" w14:textId="03F8C2C7" w:rsidR="00F41979" w:rsidRPr="0055008D" w:rsidRDefault="00F41979" w:rsidP="00AD534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Design efficient collection systems based on compiled demographical and waste generation density data for a given region, employing on-site waste characterisation units</w:t>
      </w:r>
    </w:p>
    <w:p w14:paraId="63572949" w14:textId="60D554C9" w:rsidR="00F41979" w:rsidRPr="0055008D" w:rsidRDefault="00F41979" w:rsidP="00AD534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Estimate cost, fuel consumption, man power requirements, vehicles needed and other parameters</w:t>
      </w:r>
    </w:p>
    <w:p w14:paraId="73228DA4" w14:textId="0E7F668D" w:rsidR="00F41979" w:rsidRPr="0055008D" w:rsidRDefault="00F41979" w:rsidP="00AD5342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List possible collection scenarios and future predictions</w:t>
      </w:r>
    </w:p>
    <w:p w14:paraId="488DED57" w14:textId="0DDE2CFB" w:rsidR="00F41979" w:rsidRPr="00647786" w:rsidRDefault="00F41979" w:rsidP="00AD5342">
      <w:pPr>
        <w:pStyle w:val="Heading4"/>
        <w:jc w:val="both"/>
      </w:pPr>
      <w:r>
        <w:t>STEP 5: Treatment Plant</w:t>
      </w:r>
    </w:p>
    <w:p w14:paraId="4AC542B7" w14:textId="64BF2965" w:rsidR="00F41979" w:rsidRPr="0055008D" w:rsidRDefault="00F41979" w:rsidP="00AD5342">
      <w:p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For a given region with certain demography, one of possible treatment options is considered</w:t>
      </w:r>
    </w:p>
    <w:p w14:paraId="0A38A2DC" w14:textId="30DB3AF5" w:rsidR="00F41979" w:rsidRPr="0055008D" w:rsidRDefault="00F41979" w:rsidP="00AD534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Composting plant</w:t>
      </w:r>
    </w:p>
    <w:p w14:paraId="6571A025" w14:textId="449DE334" w:rsidR="00F41979" w:rsidRPr="0055008D" w:rsidRDefault="00F41979" w:rsidP="00AD5342">
      <w:pPr>
        <w:pStyle w:val="ListParagraph"/>
        <w:numPr>
          <w:ilvl w:val="0"/>
          <w:numId w:val="19"/>
        </w:numPr>
        <w:spacing w:before="240"/>
        <w:jc w:val="both"/>
        <w:rPr>
          <w:sz w:val="24"/>
          <w:szCs w:val="24"/>
        </w:rPr>
      </w:pPr>
      <w:r w:rsidRPr="0055008D">
        <w:rPr>
          <w:sz w:val="24"/>
          <w:szCs w:val="24"/>
        </w:rPr>
        <w:t>Anaerobic Digestion</w:t>
      </w:r>
    </w:p>
    <w:p w14:paraId="7822155C" w14:textId="4369CBD0" w:rsidR="00F41979" w:rsidRPr="0055008D" w:rsidRDefault="00F41979" w:rsidP="00AD534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Mechanical Biological Treatment</w:t>
      </w:r>
    </w:p>
    <w:p w14:paraId="74E1021D" w14:textId="510ADE80" w:rsidR="00F41979" w:rsidRPr="0055008D" w:rsidRDefault="00F41979" w:rsidP="00AD5342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Pr="0055008D">
        <w:rPr>
          <w:sz w:val="24"/>
          <w:szCs w:val="24"/>
        </w:rPr>
        <w:t>Thermal Pyrolysis Treatment</w:t>
      </w:r>
    </w:p>
    <w:p w14:paraId="7AF7D7AF" w14:textId="26BDE1A7" w:rsidR="00F41979" w:rsidRPr="0055008D" w:rsidRDefault="00F41979" w:rsidP="00AD5342">
      <w:pPr>
        <w:spacing w:before="240"/>
        <w:jc w:val="both"/>
        <w:rPr>
          <w:sz w:val="24"/>
          <w:szCs w:val="24"/>
        </w:rPr>
      </w:pPr>
      <w:r w:rsidRPr="0055008D">
        <w:rPr>
          <w:sz w:val="24"/>
          <w:szCs w:val="24"/>
        </w:rPr>
        <w:t>Detailed Data Analysis allows prediction of infrastructural requirements for the plant</w:t>
      </w:r>
      <w:r w:rsidR="0055008D" w:rsidRPr="0055008D">
        <w:rPr>
          <w:sz w:val="24"/>
          <w:szCs w:val="24"/>
        </w:rPr>
        <w:t xml:space="preserve"> (cost, electricity, water, infrastructure etc)</w:t>
      </w:r>
    </w:p>
    <w:p w14:paraId="21D7C3BF" w14:textId="2998FA3B" w:rsidR="00F41979" w:rsidRPr="0055008D" w:rsidRDefault="0055008D" w:rsidP="00AD5342">
      <w:pPr>
        <w:pStyle w:val="Heading4"/>
        <w:jc w:val="both"/>
      </w:pPr>
      <w:r w:rsidRPr="0055008D">
        <w:t>RESULT</w:t>
      </w:r>
    </w:p>
    <w:p w14:paraId="6CC46BF8" w14:textId="68B31F27" w:rsidR="0055008D" w:rsidRPr="0055008D" w:rsidRDefault="0055008D" w:rsidP="005E6519">
      <w:pPr>
        <w:spacing w:before="240"/>
        <w:jc w:val="both"/>
        <w:rPr>
          <w:sz w:val="24"/>
          <w:szCs w:val="24"/>
        </w:rPr>
      </w:pPr>
      <w:r w:rsidRPr="0055008D">
        <w:rPr>
          <w:sz w:val="24"/>
          <w:szCs w:val="24"/>
        </w:rPr>
        <w:t>Waste characterisation study ensures long-lasting solution for SWM, and working of treatment plant for long duration of time.</w:t>
      </w:r>
    </w:p>
    <w:sectPr w:rsidR="0055008D" w:rsidRPr="00550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314"/>
    <w:multiLevelType w:val="hybridMultilevel"/>
    <w:tmpl w:val="692A0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7097"/>
    <w:multiLevelType w:val="hybridMultilevel"/>
    <w:tmpl w:val="FB6AB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0790"/>
    <w:multiLevelType w:val="hybridMultilevel"/>
    <w:tmpl w:val="05EED5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716F8"/>
    <w:multiLevelType w:val="hybridMultilevel"/>
    <w:tmpl w:val="58065EE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66014"/>
    <w:multiLevelType w:val="hybridMultilevel"/>
    <w:tmpl w:val="026C4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63646"/>
    <w:multiLevelType w:val="hybridMultilevel"/>
    <w:tmpl w:val="06289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95B13"/>
    <w:multiLevelType w:val="hybridMultilevel"/>
    <w:tmpl w:val="6F30F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94578"/>
    <w:multiLevelType w:val="hybridMultilevel"/>
    <w:tmpl w:val="26A03C8A"/>
    <w:lvl w:ilvl="0" w:tplc="FD929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464035"/>
    <w:multiLevelType w:val="hybridMultilevel"/>
    <w:tmpl w:val="BF12A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C4F42"/>
    <w:multiLevelType w:val="hybridMultilevel"/>
    <w:tmpl w:val="4B2A0A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657D7"/>
    <w:multiLevelType w:val="hybridMultilevel"/>
    <w:tmpl w:val="B7FA8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7715A"/>
    <w:multiLevelType w:val="hybridMultilevel"/>
    <w:tmpl w:val="FBB2A004"/>
    <w:lvl w:ilvl="0" w:tplc="F0C697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1C28AF"/>
    <w:multiLevelType w:val="hybridMultilevel"/>
    <w:tmpl w:val="F8E06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A403A"/>
    <w:multiLevelType w:val="hybridMultilevel"/>
    <w:tmpl w:val="72604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41619"/>
    <w:multiLevelType w:val="hybridMultilevel"/>
    <w:tmpl w:val="8BF6E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27E3F"/>
    <w:multiLevelType w:val="hybridMultilevel"/>
    <w:tmpl w:val="9BEA0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339D9"/>
    <w:multiLevelType w:val="hybridMultilevel"/>
    <w:tmpl w:val="B7BEA3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85B5A"/>
    <w:multiLevelType w:val="hybridMultilevel"/>
    <w:tmpl w:val="6532C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F6BE6"/>
    <w:multiLevelType w:val="hybridMultilevel"/>
    <w:tmpl w:val="7DF21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226190">
    <w:abstractNumId w:val="15"/>
  </w:num>
  <w:num w:numId="2" w16cid:durableId="636452159">
    <w:abstractNumId w:val="13"/>
  </w:num>
  <w:num w:numId="3" w16cid:durableId="842622145">
    <w:abstractNumId w:val="2"/>
  </w:num>
  <w:num w:numId="4" w16cid:durableId="1309243104">
    <w:abstractNumId w:val="17"/>
  </w:num>
  <w:num w:numId="5" w16cid:durableId="1785883930">
    <w:abstractNumId w:val="16"/>
  </w:num>
  <w:num w:numId="6" w16cid:durableId="768162217">
    <w:abstractNumId w:val="18"/>
  </w:num>
  <w:num w:numId="7" w16cid:durableId="646906795">
    <w:abstractNumId w:val="10"/>
  </w:num>
  <w:num w:numId="8" w16cid:durableId="1518233640">
    <w:abstractNumId w:val="5"/>
  </w:num>
  <w:num w:numId="9" w16cid:durableId="1126587597">
    <w:abstractNumId w:val="11"/>
  </w:num>
  <w:num w:numId="10" w16cid:durableId="292448522">
    <w:abstractNumId w:val="4"/>
  </w:num>
  <w:num w:numId="11" w16cid:durableId="1182672124">
    <w:abstractNumId w:val="7"/>
  </w:num>
  <w:num w:numId="12" w16cid:durableId="1364593711">
    <w:abstractNumId w:val="3"/>
  </w:num>
  <w:num w:numId="13" w16cid:durableId="134179963">
    <w:abstractNumId w:val="12"/>
  </w:num>
  <w:num w:numId="14" w16cid:durableId="2097942784">
    <w:abstractNumId w:val="8"/>
  </w:num>
  <w:num w:numId="15" w16cid:durableId="1706827124">
    <w:abstractNumId w:val="9"/>
  </w:num>
  <w:num w:numId="16" w16cid:durableId="71708504">
    <w:abstractNumId w:val="1"/>
  </w:num>
  <w:num w:numId="17" w16cid:durableId="952859267">
    <w:abstractNumId w:val="0"/>
  </w:num>
  <w:num w:numId="18" w16cid:durableId="1109544529">
    <w:abstractNumId w:val="14"/>
  </w:num>
  <w:num w:numId="19" w16cid:durableId="6184913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2C"/>
    <w:rsid w:val="00094DBC"/>
    <w:rsid w:val="00250C19"/>
    <w:rsid w:val="00376768"/>
    <w:rsid w:val="0055008D"/>
    <w:rsid w:val="005E6519"/>
    <w:rsid w:val="00647786"/>
    <w:rsid w:val="006571C8"/>
    <w:rsid w:val="006A4F84"/>
    <w:rsid w:val="00701B42"/>
    <w:rsid w:val="0089682D"/>
    <w:rsid w:val="008B3DB1"/>
    <w:rsid w:val="009A0282"/>
    <w:rsid w:val="009A4234"/>
    <w:rsid w:val="009F2946"/>
    <w:rsid w:val="00AD5342"/>
    <w:rsid w:val="00BA3300"/>
    <w:rsid w:val="00BA4EF8"/>
    <w:rsid w:val="00DC28FD"/>
    <w:rsid w:val="00E1472C"/>
    <w:rsid w:val="00E6674B"/>
    <w:rsid w:val="00F41979"/>
    <w:rsid w:val="00F659A8"/>
    <w:rsid w:val="00F8747E"/>
    <w:rsid w:val="00F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E9A"/>
  <w15:chartTrackingRefBased/>
  <w15:docId w15:val="{6C8C6F75-259C-4518-B4B6-CB84AE24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8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28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14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7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472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14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6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28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C28F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A028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A028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IN">
                <a:latin typeface="+mj-lt"/>
              </a:rPr>
              <a:t>Solid Waste Trend across the globe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Middle East and North Africa</c:v>
                </c:pt>
                <c:pt idx="1">
                  <c:v>Sub-Saharan Africa</c:v>
                </c:pt>
                <c:pt idx="2">
                  <c:v>Latin America and Caribbean</c:v>
                </c:pt>
                <c:pt idx="3">
                  <c:v>North America</c:v>
                </c:pt>
                <c:pt idx="4">
                  <c:v>South Asia</c:v>
                </c:pt>
                <c:pt idx="5">
                  <c:v>Europe and Central Asia</c:v>
                </c:pt>
                <c:pt idx="6">
                  <c:v>East Asia and Pacific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129</c:v>
                </c:pt>
                <c:pt idx="1">
                  <c:v>174</c:v>
                </c:pt>
                <c:pt idx="2">
                  <c:v>226</c:v>
                </c:pt>
                <c:pt idx="3">
                  <c:v>290</c:v>
                </c:pt>
                <c:pt idx="4">
                  <c:v>334</c:v>
                </c:pt>
                <c:pt idx="5">
                  <c:v>395</c:v>
                </c:pt>
                <c:pt idx="6">
                  <c:v>465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2-48CF-8964-A32EFD621E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Middle East and North Africa</c:v>
                </c:pt>
                <c:pt idx="1">
                  <c:v>Sub-Saharan Africa</c:v>
                </c:pt>
                <c:pt idx="2">
                  <c:v>Latin America and Caribbean</c:v>
                </c:pt>
                <c:pt idx="3">
                  <c:v>North America</c:v>
                </c:pt>
                <c:pt idx="4">
                  <c:v>South Asia</c:v>
                </c:pt>
                <c:pt idx="5">
                  <c:v>Europe and Central Asia</c:v>
                </c:pt>
                <c:pt idx="6">
                  <c:v>East Asia and Pacific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177</c:v>
                </c:pt>
                <c:pt idx="1">
                  <c:v>269</c:v>
                </c:pt>
                <c:pt idx="2">
                  <c:v>290</c:v>
                </c:pt>
                <c:pt idx="3">
                  <c:v>342</c:v>
                </c:pt>
                <c:pt idx="4">
                  <c:v>466</c:v>
                </c:pt>
                <c:pt idx="5">
                  <c:v>445</c:v>
                </c:pt>
                <c:pt idx="6">
                  <c:v>602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52-48CF-8964-A32EFD621E5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Middle East and North Africa</c:v>
                </c:pt>
                <c:pt idx="1">
                  <c:v>Sub-Saharan Africa</c:v>
                </c:pt>
                <c:pt idx="2">
                  <c:v>Latin America and Caribbean</c:v>
                </c:pt>
                <c:pt idx="3">
                  <c:v>North America</c:v>
                </c:pt>
                <c:pt idx="4">
                  <c:v>South Asia</c:v>
                </c:pt>
                <c:pt idx="5">
                  <c:v>Europe and Central Asia</c:v>
                </c:pt>
                <c:pt idx="6">
                  <c:v>East Asia and Pacific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260</c:v>
                </c:pt>
                <c:pt idx="1">
                  <c:v>518</c:v>
                </c:pt>
                <c:pt idx="2">
                  <c:v>369</c:v>
                </c:pt>
                <c:pt idx="3">
                  <c:v>369</c:v>
                </c:pt>
                <c:pt idx="4">
                  <c:v>658</c:v>
                </c:pt>
                <c:pt idx="5">
                  <c:v>490</c:v>
                </c:pt>
                <c:pt idx="6">
                  <c:v>720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52-48CF-8964-A32EFD621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3166080"/>
        <c:axId val="529998272"/>
      </c:barChart>
      <c:catAx>
        <c:axId val="39316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US"/>
          </a:p>
        </c:txPr>
        <c:crossAx val="529998272"/>
        <c:crosses val="autoZero"/>
        <c:auto val="1"/>
        <c:lblAlgn val="ctr"/>
        <c:lblOffset val="100"/>
        <c:noMultiLvlLbl val="0"/>
      </c:catAx>
      <c:valAx>
        <c:axId val="529998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316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solidFill>
        <a:schemeClr val="accent2"/>
      </a:solidFill>
      <a:prstDash val="solid"/>
      <a:miter lim="800000"/>
    </a:ln>
    <a:effectLst/>
  </c:spPr>
  <c:txPr>
    <a:bodyPr/>
    <a:lstStyle/>
    <a:p>
      <a:pPr algn="just"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Chauhan</dc:creator>
  <cp:keywords/>
  <dc:description/>
  <cp:lastModifiedBy>Rohan Chauhan</cp:lastModifiedBy>
  <cp:revision>18</cp:revision>
  <dcterms:created xsi:type="dcterms:W3CDTF">2022-12-03T03:50:00Z</dcterms:created>
  <dcterms:modified xsi:type="dcterms:W3CDTF">2023-08-20T05:56:00Z</dcterms:modified>
</cp:coreProperties>
</file>