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HydraLoop</w:t>
      </w:r>
    </w:p>
    <w:p>
      <w:pPr>
        <w:jc w:val="center"/>
      </w:pPr>
      <w:r>
        <w:rPr>
          <w:i/>
          <w:sz w:val="24"/>
        </w:rPr>
        <w:t>A co-evolutionary red-team / blue-team lab for payment fraud</w:t>
      </w:r>
    </w:p>
    <w:p>
      <w:pPr>
        <w:jc w:val="center"/>
      </w:pPr>
      <w:r>
        <w:rPr>
          <w:sz w:val="18"/>
        </w:rPr>
        <w:t>Mastercard Innovation Challenge 2026  |  AI Defense Lab for Payment Security</w:t>
        <w:br/>
        <w:t>Repository: https://github.com/Chavan-Kartik/HydraLoop</w:t>
        <w:br/>
        <w:t>Generated 2026-08-25 from measured run artifacts</w:t>
      </w:r>
    </w:p>
    <w:p>
      <w:pPr>
        <w:pStyle w:val="Heading1"/>
      </w:pPr>
      <w:r>
        <w:t>1. What this is</w:t>
      </w:r>
    </w:p>
    <w:p>
      <w:r>
        <w:t>HydraLoop is a sandboxed lab in which an attacker and a defender improve against each other. A red team encodes payment fraud as constrained, machine-readable 'attack genomes' and searches for the variants that pay. A payment digital twin runs those attacks against synthetic legitimate traffic through a full transaction lifecycle. A blue team scores every transaction at decision time, and whatever escapes is fed back so the detector retrains and has to clear a regression gauntlet before it is allowed to replace the model in production.</w:t>
      </w:r>
    </w:p>
    <w:p>
      <w:r>
        <w:t>The claim we care about is not a single accuracy figure. It is that the loop closes: an attack that gets through once can be made to stop working, verifiably, without the defender quietly getting worse at everything else. All data is synthetic. Ground-truth fraud labels exist only inside the simulator and are never model inputs.</w:t>
      </w:r>
    </w:p>
    <w:p>
      <w:pPr>
        <w:pStyle w:val="Heading1"/>
      </w:pPr>
      <w:r>
        <w:t>2. Identify: the attacks we mapped</w:t>
      </w:r>
    </w:p>
    <w:p>
      <w:r>
        <w:t>The catalog holds 28 scenarios across 7 families. Every one is abstracted to behavioural metadata only. We represent cadence, value laddering, device reuse, payee novelty and attacker resource budgets. We do not represent credentials, documents, persuasion scripts or exploit steps, and each scenario carries an explicit note stating what was deliberately left out. That constraint is a safety property and an engineering one: it is what makes an attack a searchable object rather than a paragraph of text.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Family</w:t>
            </w:r>
          </w:p>
        </w:tc>
        <w:tc>
          <w:tcPr>
            <w:tcW w:type="dxa" w:w="2880"/>
          </w:tcPr>
          <w:p>
            <w:r/>
            <w:r>
              <w:rPr>
                <w:b/>
                <w:sz w:val="18"/>
              </w:rPr>
              <w:t>Scenarios</w:t>
            </w:r>
          </w:p>
        </w:tc>
        <w:tc>
          <w:tcPr>
            <w:tcW w:type="dxa" w:w="2880"/>
          </w:tcPr>
          <w:p>
            <w:r/>
            <w:r>
              <w:rPr>
                <w:b/>
                <w:sz w:val="18"/>
              </w:rPr>
              <w:t>Why it matters</w:t>
            </w:r>
          </w:p>
        </w:tc>
      </w:tr>
      <w:tr>
        <w:tc>
          <w:tcPr>
            <w:tcW w:type="dxa" w:w="2880"/>
          </w:tcPr>
          <w:p>
            <w:r/>
            <w:r>
              <w:rPr>
                <w:sz w:val="18"/>
              </w:rPr>
              <w:t>account takeover</w:t>
            </w:r>
          </w:p>
        </w:tc>
        <w:tc>
          <w:tcPr>
            <w:tcW w:type="dxa" w:w="2880"/>
          </w:tcPr>
          <w:p>
            <w:r/>
            <w:r>
              <w:rPr>
                <w:sz w:val="18"/>
              </w:rPr>
              <w:t>4</w:t>
            </w:r>
          </w:p>
        </w:tc>
        <w:tc>
          <w:tcPr>
            <w:tcW w:type="dxa" w:w="2880"/>
          </w:tcPr>
          <w:p>
            <w:r/>
            <w:r>
              <w:rPr>
                <w:sz w:val="18"/>
              </w:rPr>
              <w:t>Automation compresses the time between login and payment and rotates devices faster than a velocity rule's window.</w:t>
            </w:r>
          </w:p>
        </w:tc>
      </w:tr>
      <w:tr>
        <w:tc>
          <w:tcPr>
            <w:tcW w:type="dxa" w:w="2880"/>
          </w:tcPr>
          <w:p>
            <w:r/>
            <w:r>
              <w:rPr>
                <w:sz w:val="18"/>
              </w:rPr>
              <w:t>agentic commerce</w:t>
            </w:r>
          </w:p>
        </w:tc>
        <w:tc>
          <w:tcPr>
            <w:tcW w:type="dxa" w:w="2880"/>
          </w:tcPr>
          <w:p>
            <w:r/>
            <w:r>
              <w:rPr>
                <w:sz w:val="18"/>
              </w:rPr>
              <w:t>4</w:t>
            </w:r>
          </w:p>
        </w:tc>
        <w:tc>
          <w:tcPr>
            <w:tcW w:type="dxa" w:w="2880"/>
          </w:tcPr>
          <w:p>
            <w:r/>
            <w:r>
              <w:rPr>
                <w:sz w:val="18"/>
              </w:rPr>
              <w:t>Agent-initiated payments remove human friction and transact at machine cadence. This is the emerging surface and the reason the catalog exists.</w:t>
            </w:r>
          </w:p>
        </w:tc>
      </w:tr>
      <w:tr>
        <w:tc>
          <w:tcPr>
            <w:tcW w:type="dxa" w:w="2880"/>
          </w:tcPr>
          <w:p>
            <w:r/>
            <w:r>
              <w:rPr>
                <w:sz w:val="18"/>
              </w:rPr>
              <w:t>card testing</w:t>
            </w:r>
          </w:p>
        </w:tc>
        <w:tc>
          <w:tcPr>
            <w:tcW w:type="dxa" w:w="2880"/>
          </w:tcPr>
          <w:p>
            <w:r/>
            <w:r>
              <w:rPr>
                <w:sz w:val="18"/>
              </w:rPr>
              <w:t>4</w:t>
            </w:r>
          </w:p>
        </w:tc>
        <w:tc>
          <w:tcPr>
            <w:tcW w:type="dxa" w:w="2880"/>
          </w:tcPr>
          <w:p>
            <w:r/>
            <w:r>
              <w:rPr>
                <w:sz w:val="18"/>
              </w:rPr>
              <w:t>Machine-speed enumeration discovers which instruments authorise before any value is taken.</w:t>
            </w:r>
          </w:p>
        </w:tc>
      </w:tr>
      <w:tr>
        <w:tc>
          <w:tcPr>
            <w:tcW w:type="dxa" w:w="2880"/>
          </w:tcPr>
          <w:p>
            <w:r/>
            <w:r>
              <w:rPr>
                <w:sz w:val="18"/>
              </w:rPr>
              <w:t>merchant abuse</w:t>
            </w:r>
          </w:p>
        </w:tc>
        <w:tc>
          <w:tcPr>
            <w:tcW w:type="dxa" w:w="2880"/>
          </w:tcPr>
          <w:p>
            <w:r/>
            <w:r>
              <w:rPr>
                <w:sz w:val="18"/>
              </w:rPr>
              <w:t>4</w:t>
            </w:r>
          </w:p>
        </w:tc>
        <w:tc>
          <w:tcPr>
            <w:tcW w:type="dxa" w:w="2880"/>
          </w:tcPr>
          <w:p>
            <w:r/>
            <w:r>
              <w:rPr>
                <w:sz w:val="18"/>
              </w:rPr>
              <w:t>Abuse is laundered through flows that look like ordinary merchant activity.</w:t>
            </w:r>
          </w:p>
        </w:tc>
      </w:tr>
      <w:tr>
        <w:tc>
          <w:tcPr>
            <w:tcW w:type="dxa" w:w="2880"/>
          </w:tcPr>
          <w:p>
            <w:r/>
            <w:r>
              <w:rPr>
                <w:sz w:val="18"/>
              </w:rPr>
              <w:t>money movement</w:t>
            </w:r>
          </w:p>
        </w:tc>
        <w:tc>
          <w:tcPr>
            <w:tcW w:type="dxa" w:w="2880"/>
          </w:tcPr>
          <w:p>
            <w:r/>
            <w:r>
              <w:rPr>
                <w:sz w:val="18"/>
              </w:rPr>
              <w:t>4</w:t>
            </w:r>
          </w:p>
        </w:tc>
        <w:tc>
          <w:tcPr>
            <w:tcW w:type="dxa" w:w="2880"/>
          </w:tcPr>
          <w:p>
            <w:r/>
            <w:r>
              <w:rPr>
                <w:sz w:val="18"/>
              </w:rPr>
              <w:t>Layering across rails breaks the trail before funds reach cash-out.</w:t>
            </w:r>
          </w:p>
        </w:tc>
      </w:tr>
      <w:tr>
        <w:tc>
          <w:tcPr>
            <w:tcW w:type="dxa" w:w="2880"/>
          </w:tcPr>
          <w:p>
            <w:r/>
            <w:r>
              <w:rPr>
                <w:sz w:val="18"/>
              </w:rPr>
              <w:t>social engineering</w:t>
            </w:r>
          </w:p>
        </w:tc>
        <w:tc>
          <w:tcPr>
            <w:tcW w:type="dxa" w:w="2880"/>
          </w:tcPr>
          <w:p>
            <w:r/>
            <w:r>
              <w:rPr>
                <w:sz w:val="18"/>
              </w:rPr>
              <w:t>4</w:t>
            </w:r>
          </w:p>
        </w:tc>
        <w:tc>
          <w:tcPr>
            <w:tcW w:type="dxa" w:w="2880"/>
          </w:tcPr>
          <w:p>
            <w:r/>
            <w:r>
              <w:rPr>
                <w:sz w:val="18"/>
              </w:rPr>
              <w:t>Authorised push payment fraud clears every authentication check because the genuine customer is the one instructing the payment.</w:t>
            </w:r>
          </w:p>
        </w:tc>
      </w:tr>
      <w:tr>
        <w:tc>
          <w:tcPr>
            <w:tcW w:type="dxa" w:w="2880"/>
          </w:tcPr>
          <w:p>
            <w:r/>
            <w:r>
              <w:rPr>
                <w:sz w:val="18"/>
              </w:rPr>
              <w:t>synthetic identity</w:t>
            </w:r>
          </w:p>
        </w:tc>
        <w:tc>
          <w:tcPr>
            <w:tcW w:type="dxa" w:w="2880"/>
          </w:tcPr>
          <w:p>
            <w:r/>
            <w:r>
              <w:rPr>
                <w:sz w:val="18"/>
              </w:rPr>
              <w:t>4</w:t>
            </w:r>
          </w:p>
        </w:tc>
        <w:tc>
          <w:tcPr>
            <w:tcW w:type="dxa" w:w="2880"/>
          </w:tcPr>
          <w:p>
            <w:r/>
            <w:r>
              <w:rPr>
                <w:sz w:val="18"/>
              </w:rPr>
              <w:t>Generative models make a fabricated application internally consistent, so field-by-field plausibility checks stop being sufficient.</w:t>
            </w:r>
          </w:p>
        </w:tc>
      </w:tr>
    </w:tbl>
    <w:p/>
    <w:p>
      <w:r>
        <w:t>Agentic commerce is the differentiator. It models the statistical footprint of an autonomous payment agent whose spending drifts past its mandate, whose session is taken over, that is coordinated into a probing swarm, or that is redirected to an attacker's payee. These are behaviours, not prompts, which is why they can be simulated and detected rather than merely described.</w:t>
      </w:r>
    </w:p>
    <w:p>
      <w:pPr>
        <w:pStyle w:val="Heading1"/>
      </w:pPr>
      <w:r>
        <w:t>3. Generate: how the attacks are simulated</w:t>
      </w:r>
    </w:p>
    <w:p>
      <w:r>
        <w:t>Legitimate traffic is a non-homogeneous Poisson process: each synthetic cardholder transacts at a personal base rate modulated by a diurnal curve and a weekly curve, against Zipf-distributed merchants with Pareto device reuse. Every transaction runs a lifecycle state machine, from session and intent through authorisation, risk decision, optional 3-D Secure, capture, settlement and finally dispute or chargeback.</w:t>
      </w:r>
    </w:p>
    <w:p>
      <w:r>
        <w:t>Labels are deliberately delayed and noisy. A dispute arrives days after the payment, a quarter of genuine fraud is never disputed at all, and some legitimate payments are disputed anyway. Training therefore never sees a clean oracle, which is the situation a real issuer is actually in.</w:t>
      </w:r>
    </w:p>
    <w:p>
      <w:r>
        <w:t>Each attack is a validated genome with hard numeric bounds over victim selection, amount policy, timing, device policy, channel mix, network topology, friction response and resource budget. The JSON Schema is generated from a single executable specification, so the attacker's entire output space is defined in exactly one place and can never become free-form text. Genomes are content-addressed, which gives every attack a stable identity for lineage. The red team searches that space with quality-diversity (MAP-Elites) to stay diverse, a Thompson-sampling bandit to exploit what works, and an optional schema-validated language-model strategist that can only ever emit a genome the schema accepts. Fitness is attacker economics: value settled minus resource cost, time to cash-out, and detection and friction penalties.</w:t>
      </w:r>
    </w:p>
    <w:p>
      <w:pPr>
        <w:pStyle w:val="Heading2"/>
      </w:pPr>
      <w:r>
        <w:t>3.1 Fidelity, stated honestly</w:t>
      </w:r>
    </w:p>
    <w:p>
      <w:r>
        <w:t>Benchmark mode: synthetic_shift against reference 'synthetic_shift'. Discriminator AUC 0.5006 over 18 shared features (60292 synthetic rows against 60292 reference rows).</w:t>
      </w:r>
    </w:p>
    <w:p>
      <w:r>
        <w:t>Transfer: a detector trained on synthetic traffic and tested on the reference reaches 0.808 recall at a 1% false-positive rate (TSTR); trained on the reference and tested on synthetic it reaches 0.644 (TRTS). Transfer in both directions is the useful signal, because it measures whether the synthetic data is good enough to train on rather than merely similar on its marginals.</w:t>
      </w:r>
    </w:p>
    <w:p>
      <w:r>
        <w:rPr>
          <w:b/>
        </w:rPr>
        <w:t xml:space="preserve">Limit of this number. </w:t>
      </w:r>
      <w:r>
        <w:t>No licensed external dataset is bundled with this repository, so the reference above is an independent draw from the same generator. An AUC near 0.5 against it demonstrates that the simulator is stationary and reproducible. It does not demonstrate resemblance to real payment data, and we do not claim that it does. The harness that would measure realism is built and tested: 'hydraloop bench --csv &lt;file&gt;' or '--preset sparkov|paysim' normalises an external transaction file into the same feature space and reports the same discriminator and TSTR/TRTS figures against it. Running it against real data is the single highest-value validation step remaining, and it needs a dataset licence rather than more code.</w:t>
      </w:r>
    </w:p>
    <w:p>
      <w:r>
        <w:t>Point-in-time correctness is enforced by construction rather than by review. The feature bus lives inside the twin and can only read state as of the decision instant, no post-decision field is permitted as a feature, and a dedicated test fails if future information reaches training.</w:t>
      </w:r>
    </w:p>
    <w:p>
      <w:pPr>
        <w:pStyle w:val="Heading1"/>
      </w:pPr>
      <w:r>
        <w:t>4. Defend: the detector and what it achieves</w:t>
      </w:r>
    </w:p>
    <w:p>
      <w:r>
        <w:t>Eighteen point-in-time features are computed at the decision instant: account age and cold-start flags, lifetime transaction count, 1-hour, 24-hour and 7-day velocities, amount with its log and z-score, balance ratio, device and payee novelty, hour of day, day of week, channel, merchant category, and 7-day window coverage. Gradient-boosted trees score the feature bus; a GRU reads each cardholder's tokenised history; a GraphSAGE model runs on a time-sliced transaction graph; a narrative model reads discretised behaviour tokens; and a legit-only isolation-forest sentinel covers anomalies no supervised model has seen.</w:t>
      </w:r>
    </w:p>
    <w:p>
      <w:r>
        <w:t>Scores are isotonic-calibrated, and a cost-sensitive policy turns the probability into one of six actions (approve, soft warn, step up to 3-D Secure, delay, manual review, decline) by minimising expected loss under step-up and review-capacity budgets. Uncertain high-value cases route to a human rather than being declined automatically. Every decision carries SHAP reason codes and a counterfactual.</w:t>
      </w:r>
    </w:p>
    <w:p>
      <w:pPr>
        <w:pStyle w:val="Heading2"/>
      </w:pPr>
      <w:r>
        <w:t>4.1 Headline efficacy</w:t>
      </w:r>
    </w:p>
    <w:p>
      <w:r>
        <w:t>Measured on the temporal test split of a single reproducible run (60,000 legitimate sessions over 120 days, seed 42). The test set holds 9,279 transactions of which 261 are fraudulent. Training only ever sees earlier transactions than test, and only disputes that have already matured.</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Metric</w:t>
            </w:r>
          </w:p>
        </w:tc>
        <w:tc>
          <w:tcPr>
            <w:tcW w:type="dxa" w:w="2880"/>
          </w:tcPr>
          <w:p>
            <w:r/>
            <w:r>
              <w:rPr>
                <w:b/>
                <w:sz w:val="18"/>
              </w:rPr>
              <w:t>Gradient-boosted model</w:t>
            </w:r>
          </w:p>
        </w:tc>
        <w:tc>
          <w:tcPr>
            <w:tcW w:type="dxa" w:w="2880"/>
          </w:tcPr>
          <w:p>
            <w:r/>
            <w:r>
              <w:rPr>
                <w:b/>
                <w:sz w:val="18"/>
              </w:rPr>
              <w:t>Velocity rule baseline</w:t>
            </w:r>
          </w:p>
        </w:tc>
      </w:tr>
      <w:tr>
        <w:tc>
          <w:tcPr>
            <w:tcW w:type="dxa" w:w="2880"/>
          </w:tcPr>
          <w:p>
            <w:r/>
            <w:r>
              <w:rPr>
                <w:sz w:val="18"/>
              </w:rPr>
              <w:t>PR-AUC</w:t>
            </w:r>
          </w:p>
        </w:tc>
        <w:tc>
          <w:tcPr>
            <w:tcW w:type="dxa" w:w="2880"/>
          </w:tcPr>
          <w:p>
            <w:r/>
            <w:r>
              <w:rPr>
                <w:sz w:val="18"/>
              </w:rPr>
              <w:t>0.9587</w:t>
            </w:r>
          </w:p>
        </w:tc>
        <w:tc>
          <w:tcPr>
            <w:tcW w:type="dxa" w:w="2880"/>
          </w:tcPr>
          <w:p>
            <w:r/>
            <w:r>
              <w:rPr>
                <w:sz w:val="18"/>
              </w:rPr>
              <w:t>0.2120</w:t>
            </w:r>
          </w:p>
        </w:tc>
      </w:tr>
      <w:tr>
        <w:tc>
          <w:tcPr>
            <w:tcW w:type="dxa" w:w="2880"/>
          </w:tcPr>
          <w:p>
            <w:r/>
            <w:r>
              <w:rPr>
                <w:sz w:val="18"/>
              </w:rPr>
              <w:t>ROC-AUC</w:t>
            </w:r>
          </w:p>
        </w:tc>
        <w:tc>
          <w:tcPr>
            <w:tcW w:type="dxa" w:w="2880"/>
          </w:tcPr>
          <w:p>
            <w:r/>
            <w:r>
              <w:rPr>
                <w:sz w:val="18"/>
              </w:rPr>
              <w:t>0.9963</w:t>
            </w:r>
          </w:p>
        </w:tc>
        <w:tc>
          <w:tcPr>
            <w:tcW w:type="dxa" w:w="2880"/>
          </w:tcPr>
          <w:p>
            <w:r/>
            <w:r>
              <w:rPr>
                <w:sz w:val="18"/>
              </w:rPr>
              <w:t>0.8852</w:t>
            </w:r>
          </w:p>
        </w:tc>
      </w:tr>
      <w:tr>
        <w:tc>
          <w:tcPr>
            <w:tcW w:type="dxa" w:w="2880"/>
          </w:tcPr>
          <w:p>
            <w:r/>
            <w:r>
              <w:rPr>
                <w:sz w:val="18"/>
              </w:rPr>
              <w:t>Recall at 1% FPR</w:t>
            </w:r>
          </w:p>
        </w:tc>
        <w:tc>
          <w:tcPr>
            <w:tcW w:type="dxa" w:w="2880"/>
          </w:tcPr>
          <w:p>
            <w:r/>
            <w:r>
              <w:rPr>
                <w:sz w:val="18"/>
              </w:rPr>
              <w:t>0.9425</w:t>
            </w:r>
          </w:p>
        </w:tc>
        <w:tc>
          <w:tcPr>
            <w:tcW w:type="dxa" w:w="2880"/>
          </w:tcPr>
          <w:p>
            <w:r/>
            <w:r>
              <w:rPr>
                <w:sz w:val="18"/>
              </w:rPr>
              <w:t>0.2184</w:t>
            </w:r>
          </w:p>
        </w:tc>
      </w:tr>
      <w:tr>
        <w:tc>
          <w:tcPr>
            <w:tcW w:type="dxa" w:w="2880"/>
          </w:tcPr>
          <w:p>
            <w:r/>
            <w:r>
              <w:rPr>
                <w:sz w:val="18"/>
              </w:rPr>
              <w:t>Share of fraud value stopped</w:t>
            </w:r>
          </w:p>
        </w:tc>
        <w:tc>
          <w:tcPr>
            <w:tcW w:type="dxa" w:w="2880"/>
          </w:tcPr>
          <w:p>
            <w:r/>
            <w:r>
              <w:rPr>
                <w:sz w:val="18"/>
              </w:rPr>
              <w:t>0.9719</w:t>
            </w:r>
          </w:p>
        </w:tc>
        <w:tc>
          <w:tcPr>
            <w:tcW w:type="dxa" w:w="2880"/>
          </w:tcPr>
          <w:p>
            <w:r/>
            <w:r>
              <w:rPr>
                <w:sz w:val="18"/>
              </w:rPr>
              <w:t>0.1968</w:t>
            </w:r>
          </w:p>
        </w:tc>
      </w:tr>
      <w:tr>
        <w:tc>
          <w:tcPr>
            <w:tcW w:type="dxa" w:w="2880"/>
          </w:tcPr>
          <w:p>
            <w:r/>
            <w:r>
              <w:rPr>
                <w:sz w:val="18"/>
              </w:rPr>
              <w:t>F1 at the operating point</w:t>
            </w:r>
          </w:p>
        </w:tc>
        <w:tc>
          <w:tcPr>
            <w:tcW w:type="dxa" w:w="2880"/>
          </w:tcPr>
          <w:p>
            <w:r/>
            <w:r>
              <w:rPr>
                <w:sz w:val="18"/>
              </w:rPr>
              <w:t>0.824</w:t>
            </w:r>
          </w:p>
        </w:tc>
        <w:tc>
          <w:tcPr>
            <w:tcW w:type="dxa" w:w="2880"/>
          </w:tcPr>
          <w:p>
            <w:r/>
            <w:r>
              <w:rPr>
                <w:sz w:val="18"/>
              </w:rPr>
              <w:t>0.279</w:t>
            </w:r>
          </w:p>
        </w:tc>
      </w:tr>
      <w:tr>
        <w:tc>
          <w:tcPr>
            <w:tcW w:type="dxa" w:w="2880"/>
          </w:tcPr>
          <w:p>
            <w:r/>
            <w:r>
              <w:rPr>
                <w:sz w:val="18"/>
              </w:rPr>
              <w:t>Realised FPR</w:t>
            </w:r>
          </w:p>
        </w:tc>
        <w:tc>
          <w:tcPr>
            <w:tcW w:type="dxa" w:w="2880"/>
          </w:tcPr>
          <w:p>
            <w:r/>
            <w:r>
              <w:rPr>
                <w:sz w:val="18"/>
              </w:rPr>
              <w:t>0.00998</w:t>
            </w:r>
          </w:p>
        </w:tc>
        <w:tc>
          <w:tcPr>
            <w:tcW w:type="dxa" w:w="2880"/>
          </w:tcPr>
          <w:p>
            <w:r/>
            <w:r>
              <w:rPr>
                <w:sz w:val="18"/>
              </w:rPr>
              <w:t>0.00998</w:t>
            </w:r>
          </w:p>
        </w:tc>
      </w:tr>
    </w:tbl>
    <w:p/>
    <w:p>
      <w:r>
        <w:t>Confusion matrix for the model at that operating point: 246 true positives, 90 false positives, 15 false negatives, 8,928 true negatives. Recall 0.9425 at a realised false positive rate of 0.00998, inside the 1% budget.</w:t>
      </w:r>
    </w:p>
    <w:p>
      <w:pPr>
        <w:pStyle w:val="Heading2"/>
      </w:pPr>
      <w:r>
        <w:t>4.2 Why precision is quoted twice</w:t>
      </w:r>
    </w:p>
    <w:p>
      <w:r>
        <w:t>Precision is the one headline metric that moves with the fraud base rate, and the simulator runs a much richer fraud mix than a real portfolio in order to have enough positives to measure at all. At the test set's own prevalence of 2.8% the model's precision is 0.7321. Holding recall and false-positive rate fixed and restating it at a realistic 0.5% base rate gives 0.3218. The second number is the one an operations team would plan capacity against, and quoting only the first would overstate the model by roughly a factor of two. Recall and FPR do not depend on prevalence, which is why they carry the headline.</w:t>
      </w:r>
    </w:p>
    <w:p>
      <w:pPr>
        <w:pStyle w:val="Heading2"/>
      </w:pPr>
      <w:r>
        <w:t>4.3 What each model contributes</w:t>
      </w:r>
    </w:p>
    <w:p>
      <w:r>
        <w:t>Every component scored alone on the same test split, next to the combined ensemble, so the contribution of each layer is visible rather than asserted.</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Model</w:t>
            </w:r>
          </w:p>
        </w:tc>
        <w:tc>
          <w:tcPr>
            <w:tcW w:type="dxa" w:w="2880"/>
          </w:tcPr>
          <w:p>
            <w:r/>
            <w:r>
              <w:rPr>
                <w:b/>
                <w:sz w:val="18"/>
              </w:rPr>
              <w:t>PR-AUC</w:t>
            </w:r>
          </w:p>
        </w:tc>
        <w:tc>
          <w:tcPr>
            <w:tcW w:type="dxa" w:w="2880"/>
          </w:tcPr>
          <w:p>
            <w:r/>
            <w:r>
              <w:rPr>
                <w:b/>
                <w:sz w:val="18"/>
              </w:rPr>
              <w:t>Recall at 1% FPR</w:t>
            </w:r>
          </w:p>
        </w:tc>
      </w:tr>
      <w:tr>
        <w:tc>
          <w:tcPr>
            <w:tcW w:type="dxa" w:w="2880"/>
          </w:tcPr>
          <w:p>
            <w:r/>
            <w:r>
              <w:rPr>
                <w:sz w:val="18"/>
              </w:rPr>
              <w:t>tabular</w:t>
            </w:r>
          </w:p>
        </w:tc>
        <w:tc>
          <w:tcPr>
            <w:tcW w:type="dxa" w:w="2880"/>
          </w:tcPr>
          <w:p>
            <w:r/>
            <w:r>
              <w:rPr>
                <w:sz w:val="18"/>
              </w:rPr>
              <w:t>0.9598</w:t>
            </w:r>
          </w:p>
        </w:tc>
        <w:tc>
          <w:tcPr>
            <w:tcW w:type="dxa" w:w="2880"/>
          </w:tcPr>
          <w:p>
            <w:r/>
            <w:r>
              <w:rPr>
                <w:sz w:val="18"/>
              </w:rPr>
              <w:t>0.9425</w:t>
            </w:r>
          </w:p>
        </w:tc>
      </w:tr>
      <w:tr>
        <w:tc>
          <w:tcPr>
            <w:tcW w:type="dxa" w:w="2880"/>
          </w:tcPr>
          <w:p>
            <w:r/>
            <w:r>
              <w:rPr>
                <w:sz w:val="18"/>
              </w:rPr>
              <w:t>sequence</w:t>
            </w:r>
          </w:p>
        </w:tc>
        <w:tc>
          <w:tcPr>
            <w:tcW w:type="dxa" w:w="2880"/>
          </w:tcPr>
          <w:p>
            <w:r/>
            <w:r>
              <w:rPr>
                <w:sz w:val="18"/>
              </w:rPr>
              <w:t>0.5860</w:t>
            </w:r>
          </w:p>
        </w:tc>
        <w:tc>
          <w:tcPr>
            <w:tcW w:type="dxa" w:w="2880"/>
          </w:tcPr>
          <w:p>
            <w:r/>
            <w:r>
              <w:rPr>
                <w:sz w:val="18"/>
              </w:rPr>
              <w:t>0.5939</w:t>
            </w:r>
          </w:p>
        </w:tc>
      </w:tr>
      <w:tr>
        <w:tc>
          <w:tcPr>
            <w:tcW w:type="dxa" w:w="2880"/>
          </w:tcPr>
          <w:p>
            <w:r/>
            <w:r>
              <w:rPr>
                <w:sz w:val="18"/>
              </w:rPr>
              <w:t>graph</w:t>
            </w:r>
          </w:p>
        </w:tc>
        <w:tc>
          <w:tcPr>
            <w:tcW w:type="dxa" w:w="2880"/>
          </w:tcPr>
          <w:p>
            <w:r/>
            <w:r>
              <w:rPr>
                <w:sz w:val="18"/>
              </w:rPr>
              <w:t>0.0386</w:t>
            </w:r>
          </w:p>
        </w:tc>
        <w:tc>
          <w:tcPr>
            <w:tcW w:type="dxa" w:w="2880"/>
          </w:tcPr>
          <w:p>
            <w:r/>
            <w:r>
              <w:rPr>
                <w:sz w:val="18"/>
              </w:rPr>
              <w:t>0.0000</w:t>
            </w:r>
          </w:p>
        </w:tc>
      </w:tr>
      <w:tr>
        <w:tc>
          <w:tcPr>
            <w:tcW w:type="dxa" w:w="2880"/>
          </w:tcPr>
          <w:p>
            <w:r/>
            <w:r>
              <w:rPr>
                <w:sz w:val="18"/>
              </w:rPr>
              <w:t>narrative</w:t>
            </w:r>
          </w:p>
        </w:tc>
        <w:tc>
          <w:tcPr>
            <w:tcW w:type="dxa" w:w="2880"/>
          </w:tcPr>
          <w:p>
            <w:r/>
            <w:r>
              <w:rPr>
                <w:sz w:val="18"/>
              </w:rPr>
              <w:t>0.6472</w:t>
            </w:r>
          </w:p>
        </w:tc>
        <w:tc>
          <w:tcPr>
            <w:tcW w:type="dxa" w:w="2880"/>
          </w:tcPr>
          <w:p>
            <w:r/>
            <w:r>
              <w:rPr>
                <w:sz w:val="18"/>
              </w:rPr>
              <w:t>0.5517</w:t>
            </w:r>
          </w:p>
        </w:tc>
      </w:tr>
      <w:tr>
        <w:tc>
          <w:tcPr>
            <w:tcW w:type="dxa" w:w="2880"/>
          </w:tcPr>
          <w:p>
            <w:r/>
            <w:r>
              <w:rPr>
                <w:sz w:val="18"/>
              </w:rPr>
              <w:t>sentinel</w:t>
            </w:r>
          </w:p>
        </w:tc>
        <w:tc>
          <w:tcPr>
            <w:tcW w:type="dxa" w:w="2880"/>
          </w:tcPr>
          <w:p>
            <w:r/>
            <w:r>
              <w:rPr>
                <w:sz w:val="18"/>
              </w:rPr>
              <w:t>0.6451</w:t>
            </w:r>
          </w:p>
        </w:tc>
        <w:tc>
          <w:tcPr>
            <w:tcW w:type="dxa" w:w="2880"/>
          </w:tcPr>
          <w:p>
            <w:r/>
            <w:r>
              <w:rPr>
                <w:sz w:val="18"/>
              </w:rPr>
              <w:t>0.6169</w:t>
            </w:r>
          </w:p>
        </w:tc>
      </w:tr>
      <w:tr>
        <w:tc>
          <w:tcPr>
            <w:tcW w:type="dxa" w:w="2880"/>
          </w:tcPr>
          <w:p>
            <w:r/>
            <w:r>
              <w:rPr>
                <w:sz w:val="18"/>
              </w:rPr>
              <w:t>ensemble</w:t>
            </w:r>
          </w:p>
        </w:tc>
        <w:tc>
          <w:tcPr>
            <w:tcW w:type="dxa" w:w="2880"/>
          </w:tcPr>
          <w:p>
            <w:r/>
            <w:r>
              <w:rPr>
                <w:sz w:val="18"/>
              </w:rPr>
              <w:t>0.9598</w:t>
            </w:r>
          </w:p>
        </w:tc>
        <w:tc>
          <w:tcPr>
            <w:tcW w:type="dxa" w:w="2880"/>
          </w:tcPr>
          <w:p>
            <w:r/>
            <w:r>
              <w:rPr>
                <w:sz w:val="18"/>
              </w:rPr>
              <w:t>0.9425</w:t>
            </w:r>
          </w:p>
        </w:tc>
      </w:tr>
    </w:tbl>
    <w:p/>
    <w:p>
      <w:r>
        <w:t>Two things in that table are worth saying out loud rather than leaving for a reviewer to notice. The gradient-boosted model on the point-in-time feature bus is doing nearly all of the work, and the graph model is contributing nothing at all on this configuration: it is a candidate for removal, not a result we are presenting as a strength. The ensemble row matches the tabular row exactly because the combiner correctly selected that single model, which means the ensemble is currently acting as a selector rather than as a genuine blend.</w:t>
      </w:r>
    </w:p>
    <w:p>
      <w:r>
        <w:t>The combiner averages base probabilities unless one candidate beats that average by a clear margin on a validation fold holding enough positives to trust. That rule exists because of a specific failure found while preparing this document: choosing the best of seven candidates on a fold with thirteen positives selected the legit-only sentinel, which measured 0.80 PR-AUC on that fold and then scored 0.40 on test, where the tabular model reached 0.92. Averaging carries no selection variance, so it is now the default and a departure from it has to be earned.</w:t>
      </w:r>
    </w:p>
    <w:p>
      <w:r>
        <w:t>The sentinel earns its place elsewhere: trained only on legitimate traffic, it recovers 0.5024 recall at a 1% false-positive rate on held-out attack families that no supervised component has ever seen. That is the case the supervised stack is weakest on.</w:t>
      </w:r>
    </w:p>
    <w:p>
      <w:pPr>
        <w:pStyle w:val="Heading1"/>
      </w:pPr>
      <w:r>
        <w:t>5. The loop closing, on demand</w:t>
      </w:r>
    </w:p>
    <w:p>
      <w:r>
        <w:t>The web prototype exposes this as a single button, and it is the part worth watching. A judge types a description of a threat in plain English. The system maps it to a genome, then deliberately runs it against a detector trained only on other fraud families, so the threat is a genuine zero-day to that model. Whatever slips under the operating threshold is shown as an escape, with the value that got away.</w:t>
      </w:r>
    </w:p>
    <w:p>
      <w:r>
        <w:t>Those escapes enter an immune-memory archive and a candidate detector retrains, but only on disputes that have already matured, reproducing the label delay a real issuer lives with. The candidate then has to clear a regression gauntlet against the older families before it can be promoted: a recall floor, an FPR ceiling and a calibration ceiling. Candidates that fail are rolled back, and the decision either way is appended to a hash-chained ledger that can be verified on stage.</w:t>
      </w:r>
    </w:p>
    <w:p>
      <w:r>
        <w:t>The verdict is then measured on a second wave of the same attack against a fresh population that neither model has seen, with both models held to the same false-positive budget. That last constraint is what makes the comparison meaningful: without it, the retrained model could 'win' simply by flagging more traffic.</w:t>
      </w:r>
    </w:p>
    <w:p>
      <w:pPr>
        <w:pStyle w:val="Heading1"/>
      </w:pPr>
      <w:r>
        <w:t>6. Real-world feasibility</w:t>
      </w:r>
    </w:p>
    <w:p>
      <w:pPr>
        <w:pStyle w:val="ListBullet"/>
      </w:pPr>
      <w:r>
        <w:t>Integration. The twin talks to the defender through a frozen decision contract that mirrors an authorisation hook: it receives the transaction context as of the decision instant and returns one of six standard actions, including step-up and manual review. Nothing about the rails has to change to host it.</w:t>
      </w:r>
    </w:p>
    <w:p>
      <w:pPr>
        <w:pStyle w:val="ListBullet"/>
      </w:pPr>
      <w:r>
        <w:t>Latency. The serving path carries an explicit latency budget and a degraded mode: if the primary scorer exceeds its budget it falls back to a cheaper scorer rather than timing out an authorisation. The tabular and policy path is milliseconds on CPU.</w:t>
      </w:r>
    </w:p>
    <w:p>
      <w:pPr>
        <w:pStyle w:val="ListBullet"/>
      </w:pPr>
      <w:r>
        <w:t>Scale. Scoring is stateless behind that contract and scales horizontally. The feature bus is per-entity online state and shards by cardholder. Evolution, retraining and the gauntlet are offline batch work, off the authorisation path entirely.</w:t>
      </w:r>
    </w:p>
    <w:p>
      <w:pPr>
        <w:pStyle w:val="ListBullet"/>
      </w:pPr>
      <w:r>
        <w:t>Governance. Every promotion or rollback is an append-only, hash-chained ledger entry, so the audit question 'why is this model live' has a verifiable answer. Model and data cards ship in the repository.</w:t>
      </w:r>
    </w:p>
    <w:p>
      <w:pPr>
        <w:pStyle w:val="ListBullet"/>
      </w:pPr>
      <w:r>
        <w:t>Responsible AI. Fully synthetic with no personal data; attacks are behavioural metadata only with a per-scenario harm review; the generator is schema-constrained so it cannot emit an operational recipe; and the policy can abstain to a human instead of declining.</w:t>
      </w:r>
    </w:p>
    <w:p>
      <w:pPr>
        <w:pStyle w:val="Heading1"/>
      </w:pPr>
      <w:r>
        <w:t>7. What this does not yet show</w:t>
      </w:r>
    </w:p>
    <w:p>
      <w:r>
        <w:t>Stating these plainly, because a reviewer will find them anyway and because the ones we already found were the most useful things in the project.</w:t>
      </w:r>
    </w:p>
    <w:p>
      <w:pPr>
        <w:pStyle w:val="ListBullet"/>
      </w:pPr>
      <w:r>
        <w:t>Fidelity against real data is unproven. Every fidelity number here compares synthetic traffic to synthetic traffic. The measurement harness exists and is tested; it has not been pointed at a licensed dataset.</w:t>
      </w:r>
    </w:p>
    <w:p>
      <w:pPr>
        <w:pStyle w:val="ListBullet"/>
      </w:pPr>
      <w:r>
        <w:t>The detection numbers describe synthetic attacks. Attacks generated from a bounded genome are more regular than real fraud, so a ROC-AUC near 0.99 should be read as 'the model learns the generator', not as a forecast of live performance.</w:t>
      </w:r>
    </w:p>
    <w:p>
      <w:pPr>
        <w:pStyle w:val="ListBullet"/>
      </w:pPr>
      <w:r>
        <w:t>Results come from single runs, not repeated seeds with confidence intervals. The configuration is pinned and the commands are listed below, so anything here can be re-measured, but no error bars are claimed.</w:t>
      </w:r>
    </w:p>
    <w:p>
      <w:pPr>
        <w:pStyle w:val="ListBullet"/>
      </w:pPr>
      <w:r>
        <w:t>Twelve catalog scenarios are documented but not yet simulatable, and are marked as such rather than counted toward simulation coverage.</w:t>
      </w:r>
    </w:p>
    <w:p>
      <w:pPr>
        <w:pStyle w:val="ListBullet"/>
      </w:pPr>
      <w:r>
        <w:t>Zero-day recall from the supervised stack alone is weak, which is exactly why the legit-only sentinel is in the ensemble; the leave-one-family-out matrix reports its weak cells rather than hiding them.</w:t>
      </w:r>
    </w:p>
    <w:p>
      <w:pPr>
        <w:pStyle w:val="Heading1"/>
      </w:pPr>
      <w:r>
        <w:t>8. Reproducing every number in this document</w:t>
      </w:r>
    </w:p>
    <w:p>
      <w:r>
        <w:t>Python 3.12, pinned requirements, https://github.com/Chavan-Kartik/HydraLoop. This document is itself generated from the JSON artifacts these commands write, so it cannot drift from what the code measured.</w:t>
      </w:r>
    </w:p>
    <w:p>
      <w:r>
        <w:rPr>
          <w:rFonts w:ascii="Consolas" w:hAnsi="Consolas"/>
          <w:sz w:val="18"/>
        </w:rPr>
        <w:t>pip install -r requirements.txt</w:t>
      </w:r>
    </w:p>
    <w:p>
      <w:r>
        <w:rPr>
          <w:rFonts w:ascii="Consolas" w:hAnsi="Consolas"/>
          <w:sz w:val="18"/>
        </w:rPr>
        <w:t>pytest -q</w:t>
      </w:r>
    </w:p>
    <w:p>
      <w:r>
        <w:rPr>
          <w:rFonts w:ascii="Consolas" w:hAnsi="Consolas"/>
          <w:sz w:val="18"/>
        </w:rPr>
        <w:t>python scripts/canonical_eval.py</w:t>
      </w:r>
    </w:p>
    <w:p>
      <w:r>
        <w:rPr>
          <w:rFonts w:ascii="Consolas" w:hAnsi="Consolas"/>
          <w:sz w:val="18"/>
        </w:rPr>
        <w:t>python -m hydraloop stack --config configs/submission.yaml --run-id run_sub_stack</w:t>
      </w:r>
    </w:p>
    <w:p>
      <w:r>
        <w:rPr>
          <w:rFonts w:ascii="Consolas" w:hAnsi="Consolas"/>
          <w:sz w:val="18"/>
        </w:rPr>
        <w:t>python -m hydraloop bench --config configs/submission.yaml --run-id run_bench</w:t>
      </w:r>
    </w:p>
    <w:p>
      <w:r>
        <w:rPr>
          <w:rFonts w:ascii="Consolas" w:hAnsi="Consolas"/>
          <w:sz w:val="18"/>
        </w:rPr>
        <w:t>python scripts/build_submission_docx.py</w:t>
      </w:r>
    </w:p>
    <w:p>
      <w:r>
        <w:rPr>
          <w:rFonts w:ascii="Consolas" w:hAnsi="Consolas"/>
          <w:sz w:val="18"/>
        </w:rPr>
        <w:t>python -m hydraloop api        # then: cd ui &amp;&amp; npm install &amp;&amp; npm run dev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